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2F" w:rsidRPr="00833D89" w:rsidRDefault="006A6F2F" w:rsidP="006A6F2F">
      <w:pPr>
        <w:jc w:val="both"/>
        <w:rPr>
          <w:color w:val="222222"/>
        </w:rPr>
      </w:pPr>
      <w:proofErr w:type="spellStart"/>
      <w:r>
        <w:t>Ultra Electronics</w:t>
      </w:r>
      <w:proofErr w:type="spellEnd"/>
      <w:r>
        <w:t xml:space="preserve"> Ocean Systems Inc. (UEOS) provides export-controlled products and services to its customers on a worldwide basis. These products and services are classified as “defense articles”, “defense services” or “technical data,” </w:t>
      </w:r>
      <w:r w:rsidRPr="007859CC">
        <w:t xml:space="preserve">as defined in the </w:t>
      </w:r>
      <w:r w:rsidRPr="007859CC">
        <w:rPr>
          <w:lang w:val="en"/>
        </w:rPr>
        <w:t xml:space="preserve">International Traffic in Arms Regulations </w:t>
      </w:r>
      <w:r>
        <w:rPr>
          <w:lang w:val="en"/>
        </w:rPr>
        <w:t xml:space="preserve">(ITAR) [22 CFR 120-130] and set forth </w:t>
      </w:r>
      <w:proofErr w:type="gramStart"/>
      <w:r>
        <w:rPr>
          <w:lang w:val="en"/>
        </w:rPr>
        <w:t xml:space="preserve">in </w:t>
      </w:r>
      <w:r>
        <w:t xml:space="preserve"> </w:t>
      </w:r>
      <w:r w:rsidRPr="007859CC">
        <w:t>the</w:t>
      </w:r>
      <w:proofErr w:type="gramEnd"/>
      <w:r w:rsidRPr="007859CC">
        <w:t xml:space="preserve"> United States Munitions List</w:t>
      </w:r>
      <w:r>
        <w:t xml:space="preserve"> (USML)</w:t>
      </w:r>
      <w:r w:rsidRPr="007859CC">
        <w:t>,</w:t>
      </w:r>
      <w:r>
        <w:t xml:space="preserve"> as well as other export-controlled products and services that are classified in the </w:t>
      </w:r>
      <w:r w:rsidRPr="007859CC">
        <w:rPr>
          <w:rStyle w:val="ilfuvd"/>
          <w:color w:val="222222"/>
        </w:rPr>
        <w:t>Export Administration Regulations (</w:t>
      </w:r>
      <w:r>
        <w:rPr>
          <w:rStyle w:val="ilfuvd"/>
          <w:color w:val="222222"/>
        </w:rPr>
        <w:t>EAR) [</w:t>
      </w:r>
      <w:r w:rsidRPr="007859CC">
        <w:rPr>
          <w:rStyle w:val="ilfuvd"/>
          <w:color w:val="222222"/>
        </w:rPr>
        <w:t>15 CFR</w:t>
      </w:r>
      <w:r>
        <w:rPr>
          <w:rStyle w:val="ilfuvd"/>
          <w:color w:val="222222"/>
        </w:rPr>
        <w:t xml:space="preserve"> 730-774]</w:t>
      </w:r>
      <w:r w:rsidRPr="007859CC">
        <w:rPr>
          <w:rStyle w:val="ilfuvd"/>
          <w:color w:val="222222"/>
        </w:rPr>
        <w:t xml:space="preserve"> </w:t>
      </w:r>
      <w:r>
        <w:rPr>
          <w:rStyle w:val="ilfuvd"/>
          <w:color w:val="222222"/>
        </w:rPr>
        <w:t xml:space="preserve">and set forth in the </w:t>
      </w:r>
      <w:r>
        <w:t>Commerce Control List (CCL). Therefore, UEOS and its partners, representatives, teammates, vendors, suppliers, and subcontractors (hereinafter referred to as “Supplier”) are subject to the regulatory requirements of the ITAR and/or the EAR.</w:t>
      </w:r>
    </w:p>
    <w:p w:rsidR="006A6F2F" w:rsidRDefault="006A6F2F" w:rsidP="006A6F2F">
      <w:pPr>
        <w:jc w:val="both"/>
      </w:pPr>
    </w:p>
    <w:p w:rsidR="006A6F2F" w:rsidRPr="00684568" w:rsidRDefault="006A6F2F" w:rsidP="006A6F2F">
      <w:pPr>
        <w:jc w:val="both"/>
      </w:pPr>
      <w:r>
        <w:rPr>
          <w:szCs w:val="22"/>
        </w:rPr>
        <w:t>It is the Policy of UEOS that a</w:t>
      </w:r>
      <w:r w:rsidRPr="00684568">
        <w:rPr>
          <w:szCs w:val="22"/>
        </w:rPr>
        <w:t xml:space="preserve">ll contracts, agreements and purchase orders with any </w:t>
      </w:r>
      <w:r>
        <w:rPr>
          <w:szCs w:val="22"/>
        </w:rPr>
        <w:t>S</w:t>
      </w:r>
      <w:r w:rsidRPr="00684568">
        <w:rPr>
          <w:szCs w:val="22"/>
        </w:rPr>
        <w:t xml:space="preserve">upplier involving ITAR </w:t>
      </w:r>
      <w:r>
        <w:rPr>
          <w:szCs w:val="22"/>
        </w:rPr>
        <w:t>and/</w:t>
      </w:r>
      <w:r w:rsidRPr="00684568">
        <w:rPr>
          <w:szCs w:val="22"/>
        </w:rPr>
        <w:t>or EAR</w:t>
      </w:r>
      <w:r>
        <w:rPr>
          <w:szCs w:val="22"/>
        </w:rPr>
        <w:t xml:space="preserve"> </w:t>
      </w:r>
      <w:r w:rsidRPr="00684568">
        <w:rPr>
          <w:szCs w:val="22"/>
        </w:rPr>
        <w:t>controlled goods, technical data/technology</w:t>
      </w:r>
      <w:r>
        <w:rPr>
          <w:szCs w:val="22"/>
        </w:rPr>
        <w:t>,</w:t>
      </w:r>
      <w:r w:rsidRPr="00684568">
        <w:rPr>
          <w:szCs w:val="22"/>
        </w:rPr>
        <w:t xml:space="preserve"> or services must include flow-down </w:t>
      </w:r>
      <w:r>
        <w:rPr>
          <w:szCs w:val="22"/>
        </w:rPr>
        <w:t xml:space="preserve">clauses on </w:t>
      </w:r>
      <w:r w:rsidRPr="00684568">
        <w:rPr>
          <w:szCs w:val="22"/>
        </w:rPr>
        <w:t>export control responsibilities.</w:t>
      </w:r>
    </w:p>
    <w:p w:rsidR="006A6F2F" w:rsidRDefault="006A6F2F" w:rsidP="006A6F2F">
      <w:pPr>
        <w:jc w:val="both"/>
      </w:pPr>
    </w:p>
    <w:p w:rsidR="006A6F2F" w:rsidRPr="007A010A" w:rsidRDefault="006A6F2F" w:rsidP="006A6F2F">
      <w:pPr>
        <w:pStyle w:val="Heading1"/>
        <w:spacing w:before="138"/>
        <w:rPr>
          <w:rFonts w:ascii="Times New Roman" w:hAnsi="Times New Roman" w:cs="Times New Roman"/>
          <w:color w:val="000000" w:themeColor="text1"/>
          <w:sz w:val="24"/>
          <w:szCs w:val="24"/>
        </w:rPr>
      </w:pPr>
      <w:bookmarkStart w:id="0" w:name="_GoBack"/>
      <w:bookmarkEnd w:id="0"/>
      <w:r w:rsidRPr="007A010A">
        <w:rPr>
          <w:rFonts w:ascii="Times New Roman" w:hAnsi="Times New Roman" w:cs="Times New Roman"/>
          <w:color w:val="000000" w:themeColor="text1"/>
          <w:sz w:val="24"/>
          <w:szCs w:val="24"/>
        </w:rPr>
        <w:t>DEFINITIONS:</w:t>
      </w:r>
    </w:p>
    <w:p w:rsidR="006A6F2F" w:rsidRDefault="006A6F2F" w:rsidP="006A6F2F">
      <w:pPr>
        <w:pStyle w:val="Heading1"/>
        <w:spacing w:before="138"/>
        <w:rPr>
          <w:rFonts w:ascii="Times New Roman" w:hAnsi="Times New Roman" w:cs="Times New Roman"/>
          <w:sz w:val="24"/>
          <w:szCs w:val="24"/>
        </w:rPr>
      </w:pPr>
    </w:p>
    <w:p w:rsidR="006A6F2F" w:rsidRPr="00833D89" w:rsidRDefault="006A6F2F" w:rsidP="006A6F2F">
      <w:pPr>
        <w:pStyle w:val="FootnoteText"/>
        <w:numPr>
          <w:ilvl w:val="0"/>
          <w:numId w:val="3"/>
        </w:numPr>
        <w:tabs>
          <w:tab w:val="left" w:pos="935"/>
          <w:tab w:val="left" w:pos="936"/>
        </w:tabs>
        <w:spacing w:after="240" w:line="235" w:lineRule="auto"/>
        <w:ind w:right="112"/>
        <w:jc w:val="both"/>
      </w:pPr>
      <w:r w:rsidRPr="00511604">
        <w:rPr>
          <w:b/>
          <w:sz w:val="24"/>
          <w:szCs w:val="24"/>
        </w:rPr>
        <w:t>Flow-Down Clause:</w:t>
      </w:r>
      <w:r>
        <w:rPr>
          <w:sz w:val="24"/>
          <w:szCs w:val="24"/>
        </w:rPr>
        <w:t xml:space="preserve"> </w:t>
      </w:r>
      <w:r w:rsidRPr="00684568">
        <w:rPr>
          <w:sz w:val="24"/>
          <w:szCs w:val="24"/>
        </w:rPr>
        <w:t xml:space="preserve">A flow-down clause is a contract provision by which the parties incorporate the terms of the general contract between </w:t>
      </w:r>
      <w:r>
        <w:rPr>
          <w:sz w:val="24"/>
          <w:szCs w:val="24"/>
        </w:rPr>
        <w:t>UEOS</w:t>
      </w:r>
      <w:r w:rsidRPr="00684568">
        <w:rPr>
          <w:sz w:val="24"/>
          <w:szCs w:val="24"/>
        </w:rPr>
        <w:t xml:space="preserve"> and the </w:t>
      </w:r>
      <w:r>
        <w:rPr>
          <w:sz w:val="24"/>
          <w:szCs w:val="24"/>
        </w:rPr>
        <w:t>Supplier</w:t>
      </w:r>
      <w:r w:rsidRPr="00684568">
        <w:rPr>
          <w:sz w:val="24"/>
          <w:szCs w:val="24"/>
        </w:rPr>
        <w:t xml:space="preserve"> with whom the contract is being executed. It may also be referred to as a pass-through or conduit clause. In effect, it is a contractual clause that applies the rights, remedies and/or other responsibilities in a prime contract to the </w:t>
      </w:r>
      <w:r>
        <w:rPr>
          <w:sz w:val="24"/>
          <w:szCs w:val="24"/>
        </w:rPr>
        <w:t>Supplier</w:t>
      </w:r>
      <w:r w:rsidRPr="00684568">
        <w:rPr>
          <w:sz w:val="24"/>
          <w:szCs w:val="24"/>
        </w:rPr>
        <w:t xml:space="preserve"> to ensure that the </w:t>
      </w:r>
      <w:r>
        <w:rPr>
          <w:sz w:val="24"/>
          <w:szCs w:val="24"/>
        </w:rPr>
        <w:t>UEOS</w:t>
      </w:r>
      <w:r w:rsidRPr="00684568">
        <w:rPr>
          <w:sz w:val="24"/>
          <w:szCs w:val="24"/>
        </w:rPr>
        <w:t>’s expectations are met.</w:t>
      </w:r>
    </w:p>
    <w:p w:rsidR="006A6F2F" w:rsidRPr="00833D89" w:rsidRDefault="006A6F2F" w:rsidP="006A6F2F">
      <w:pPr>
        <w:pStyle w:val="FootnoteText"/>
        <w:numPr>
          <w:ilvl w:val="0"/>
          <w:numId w:val="3"/>
        </w:numPr>
        <w:tabs>
          <w:tab w:val="left" w:pos="935"/>
          <w:tab w:val="left" w:pos="936"/>
        </w:tabs>
        <w:spacing w:after="240" w:line="235" w:lineRule="auto"/>
        <w:ind w:right="112"/>
        <w:jc w:val="both"/>
        <w:rPr>
          <w:sz w:val="24"/>
          <w:szCs w:val="24"/>
        </w:rPr>
      </w:pPr>
      <w:r w:rsidRPr="00833D89">
        <w:rPr>
          <w:b/>
          <w:sz w:val="24"/>
          <w:szCs w:val="24"/>
        </w:rPr>
        <w:t>Export-Controlled</w:t>
      </w:r>
      <w:r w:rsidRPr="00511604">
        <w:rPr>
          <w:b/>
          <w:sz w:val="24"/>
          <w:szCs w:val="24"/>
        </w:rPr>
        <w:t>:</w:t>
      </w:r>
      <w:r w:rsidRPr="00511604">
        <w:rPr>
          <w:sz w:val="24"/>
          <w:szCs w:val="24"/>
        </w:rPr>
        <w:t xml:space="preserve"> </w:t>
      </w:r>
      <w:r w:rsidRPr="00833D89">
        <w:rPr>
          <w:sz w:val="24"/>
          <w:szCs w:val="24"/>
        </w:rPr>
        <w:t>Export-controlled means Defense Articles, Defense Services, Technical Data, items (including accessories, attachments, commodities, components, end items, part or system), technology, software, and information enumerated on the USML/</w:t>
      </w:r>
      <w:r>
        <w:rPr>
          <w:sz w:val="24"/>
          <w:szCs w:val="24"/>
        </w:rPr>
        <w:t xml:space="preserve"> CCL </w:t>
      </w:r>
      <w:r w:rsidRPr="00833D89">
        <w:rPr>
          <w:sz w:val="24"/>
          <w:szCs w:val="24"/>
        </w:rPr>
        <w:t>or otherwise requiring approval from a U.S. Government entity (unless an exemption or exception is available) before it is exported, deemed exported</w:t>
      </w:r>
      <w:proofErr w:type="gramStart"/>
      <w:r w:rsidRPr="00833D89">
        <w:rPr>
          <w:sz w:val="24"/>
          <w:szCs w:val="24"/>
        </w:rPr>
        <w:t>,  or</w:t>
      </w:r>
      <w:proofErr w:type="gramEnd"/>
      <w:r w:rsidRPr="00833D89">
        <w:rPr>
          <w:sz w:val="24"/>
          <w:szCs w:val="24"/>
        </w:rPr>
        <w:t xml:space="preserve"> re-exported, transferred, or retransferred to a foreign person in the U.S. or abroad.</w:t>
      </w:r>
    </w:p>
    <w:p w:rsidR="006A6F2F" w:rsidRPr="00C339F9" w:rsidRDefault="006A6F2F" w:rsidP="006A6F2F">
      <w:pPr>
        <w:numPr>
          <w:ilvl w:val="0"/>
          <w:numId w:val="3"/>
        </w:numPr>
        <w:shd w:val="clear" w:color="auto" w:fill="FFFFFF"/>
        <w:spacing w:after="240" w:line="300" w:lineRule="atLeast"/>
        <w:jc w:val="both"/>
        <w:rPr>
          <w:color w:val="000000"/>
          <w:lang w:val="en"/>
        </w:rPr>
      </w:pPr>
      <w:r w:rsidRPr="00833D89">
        <w:rPr>
          <w:b/>
          <w:color w:val="000000"/>
        </w:rPr>
        <w:t xml:space="preserve">Foreign Person: </w:t>
      </w:r>
      <w:r w:rsidRPr="00833D89">
        <w:rPr>
          <w:color w:val="000000"/>
        </w:rPr>
        <w:t>M</w:t>
      </w:r>
      <w:proofErr w:type="spellStart"/>
      <w:r w:rsidRPr="00833D89">
        <w:rPr>
          <w:color w:val="000000"/>
          <w:lang w:val="en"/>
        </w:rPr>
        <w:t>eans</w:t>
      </w:r>
      <w:proofErr w:type="spellEnd"/>
      <w:r w:rsidRPr="00833D89">
        <w:rPr>
          <w:color w:val="000000"/>
          <w:lang w:val="en"/>
        </w:rPr>
        <w:t xml:space="preserve"> any natural </w:t>
      </w:r>
      <w:hyperlink r:id="rId9" w:history="1">
        <w:r w:rsidRPr="00833D89">
          <w:rPr>
            <w:color w:val="000000"/>
            <w:lang w:val="en"/>
          </w:rPr>
          <w:t>person</w:t>
        </w:r>
      </w:hyperlink>
      <w:r w:rsidRPr="00833D89">
        <w:rPr>
          <w:color w:val="000000"/>
          <w:lang w:val="en"/>
        </w:rPr>
        <w:t xml:space="preserve"> who is not a lawful permanent resident as defined by </w:t>
      </w:r>
      <w:hyperlink r:id="rId10" w:anchor="a_20" w:history="1">
        <w:r w:rsidRPr="00833D89">
          <w:rPr>
            <w:color w:val="000000"/>
            <w:lang w:val="en"/>
          </w:rPr>
          <w:t>8 U.S.C. 1101(a)(20)</w:t>
        </w:r>
      </w:hyperlink>
      <w:r w:rsidRPr="00833D89">
        <w:rPr>
          <w:color w:val="000000"/>
          <w:lang w:val="en"/>
        </w:rPr>
        <w:t xml:space="preserve"> or who is not a protected individual as defined by </w:t>
      </w:r>
      <w:hyperlink r:id="rId11" w:anchor="a_3" w:history="1">
        <w:r w:rsidRPr="00833D89">
          <w:rPr>
            <w:color w:val="000000"/>
            <w:lang w:val="en"/>
          </w:rPr>
          <w:t>8 U.S.C. 1324b(a)(3)</w:t>
        </w:r>
      </w:hyperlink>
      <w:r w:rsidRPr="00833D89">
        <w:rPr>
          <w:color w:val="000000"/>
          <w:lang w:val="en"/>
        </w:rPr>
        <w:t>. It also means any foreign corporation, business association, partnership, trust, society or any other entity or group that is not incorporated or organized to do business in the United States, as well as international organizations, foreign governments and any agency or subdivision of foreign governments (e.g., diplomatic missions).</w:t>
      </w:r>
    </w:p>
    <w:p w:rsidR="006A6F2F" w:rsidRPr="00833D89" w:rsidRDefault="006A6F2F" w:rsidP="006A6F2F">
      <w:pPr>
        <w:numPr>
          <w:ilvl w:val="0"/>
          <w:numId w:val="3"/>
        </w:numPr>
        <w:shd w:val="clear" w:color="auto" w:fill="FFFFFF"/>
        <w:spacing w:after="240" w:line="300" w:lineRule="atLeast"/>
        <w:jc w:val="both"/>
      </w:pPr>
      <w:r w:rsidRPr="00833D89">
        <w:rPr>
          <w:rStyle w:val="et031"/>
          <w:b/>
          <w:color w:val="000000"/>
          <w:lang w:val="en"/>
        </w:rPr>
        <w:t>U.S. Person:</w:t>
      </w:r>
      <w:r w:rsidRPr="00833D89">
        <w:rPr>
          <w:rStyle w:val="et031"/>
          <w:color w:val="000000"/>
          <w:lang w:val="en"/>
        </w:rPr>
        <w:t xml:space="preserve"> U.S. person</w:t>
      </w:r>
      <w:r w:rsidRPr="00833D89">
        <w:rPr>
          <w:color w:val="000000"/>
          <w:lang w:val="en"/>
        </w:rPr>
        <w:t xml:space="preserve"> means a </w:t>
      </w:r>
      <w:hyperlink r:id="rId12" w:history="1">
        <w:r w:rsidRPr="00833D89">
          <w:rPr>
            <w:color w:val="000000"/>
            <w:lang w:val="en"/>
          </w:rPr>
          <w:t>person</w:t>
        </w:r>
      </w:hyperlink>
      <w:r w:rsidRPr="00833D89">
        <w:rPr>
          <w:color w:val="000000"/>
          <w:lang w:val="en"/>
        </w:rPr>
        <w:t xml:space="preserve">  who is a lawful permanent resident as defined by </w:t>
      </w:r>
      <w:hyperlink r:id="rId13" w:anchor="a_20" w:history="1">
        <w:r w:rsidRPr="00833D89">
          <w:rPr>
            <w:color w:val="000000"/>
            <w:lang w:val="en"/>
          </w:rPr>
          <w:t>8 U.S.C. 1101(a)(20)</w:t>
        </w:r>
      </w:hyperlink>
      <w:r w:rsidRPr="00833D89">
        <w:rPr>
          <w:color w:val="000000"/>
          <w:lang w:val="en"/>
        </w:rPr>
        <w:t xml:space="preserve"> or who is a protected individual as defined by </w:t>
      </w:r>
      <w:hyperlink r:id="rId14" w:anchor="a_3" w:history="1">
        <w:r w:rsidRPr="00833D89">
          <w:rPr>
            <w:color w:val="000000"/>
            <w:lang w:val="en"/>
          </w:rPr>
          <w:t>8 U.S.C. 1324b(a)(3)</w:t>
        </w:r>
      </w:hyperlink>
      <w:r w:rsidRPr="00833D89">
        <w:rPr>
          <w:color w:val="000000"/>
          <w:lang w:val="en"/>
        </w:rPr>
        <w:t xml:space="preserve">. It also means any corporation, business association, partnership, society, trust, or any other entity, organization or group that is incorporated to do </w:t>
      </w:r>
      <w:r w:rsidRPr="00833D89">
        <w:rPr>
          <w:color w:val="000000"/>
          <w:lang w:val="en"/>
        </w:rPr>
        <w:lastRenderedPageBreak/>
        <w:t xml:space="preserve">business in the United States. It also includes any governmental (federal, state or local) entity. It does not include any </w:t>
      </w:r>
      <w:hyperlink r:id="rId15" w:history="1">
        <w:r w:rsidRPr="00833D89">
          <w:rPr>
            <w:color w:val="000000"/>
            <w:lang w:val="en"/>
          </w:rPr>
          <w:t>foreign person</w:t>
        </w:r>
      </w:hyperlink>
      <w:r w:rsidRPr="00833D89">
        <w:rPr>
          <w:color w:val="000000"/>
          <w:lang w:val="en"/>
        </w:rPr>
        <w:t xml:space="preserve"> as defined in </w:t>
      </w:r>
      <w:r w:rsidRPr="00C339F9">
        <w:rPr>
          <w:color w:val="000000"/>
          <w:lang w:val="en"/>
        </w:rPr>
        <w:t>ITAR 120.16</w:t>
      </w:r>
      <w:r w:rsidRPr="00833D89">
        <w:rPr>
          <w:color w:val="000000"/>
          <w:lang w:val="en"/>
        </w:rPr>
        <w:t>.</w:t>
      </w:r>
    </w:p>
    <w:p w:rsidR="006A6F2F" w:rsidRDefault="006A6F2F" w:rsidP="006A6F2F">
      <w:pPr>
        <w:numPr>
          <w:ilvl w:val="0"/>
          <w:numId w:val="3"/>
        </w:numPr>
        <w:shd w:val="clear" w:color="auto" w:fill="FFFFFF"/>
        <w:spacing w:after="240" w:line="300" w:lineRule="atLeast"/>
        <w:jc w:val="both"/>
      </w:pPr>
      <w:r>
        <w:rPr>
          <w:rStyle w:val="et031"/>
          <w:b/>
          <w:color w:val="000000"/>
          <w:lang w:val="en"/>
        </w:rPr>
        <w:t>Person:</w:t>
      </w:r>
      <w:r>
        <w:t xml:space="preserve"> Person means a natural person as well as a corporation, business association, partnership, society, trust, or any other entity, organization or group, including governmental entities.</w:t>
      </w:r>
    </w:p>
    <w:p w:rsidR="006A6F2F" w:rsidRDefault="006A6F2F" w:rsidP="006A6F2F">
      <w:pPr>
        <w:numPr>
          <w:ilvl w:val="0"/>
          <w:numId w:val="3"/>
        </w:numPr>
        <w:shd w:val="clear" w:color="auto" w:fill="FFFFFF"/>
        <w:tabs>
          <w:tab w:val="left" w:pos="935"/>
          <w:tab w:val="left" w:pos="936"/>
        </w:tabs>
        <w:spacing w:after="240"/>
        <w:jc w:val="both"/>
        <w:rPr>
          <w:color w:val="000000"/>
        </w:rPr>
      </w:pPr>
      <w:r>
        <w:rPr>
          <w:b/>
          <w:color w:val="000000"/>
        </w:rPr>
        <w:t xml:space="preserve">Defense Article (ITAR): </w:t>
      </w:r>
      <w:r w:rsidRPr="00833D89">
        <w:rPr>
          <w:color w:val="000000"/>
        </w:rPr>
        <w:t>Means any item or technical data designated in the US Munitions List. This term includes technical data recorded or stored in any physical form, models, mockups or other items that reveal technical data directly relating to items designated in the USML. It also includes forgings, castings, or other unfinished products, such as extrusions and machined bodies, that have reached a stage in manufacturing where they are clearly identifiable by mechanical properties, material composition, geometry, or function as defense article.</w:t>
      </w:r>
    </w:p>
    <w:p w:rsidR="006A6F2F" w:rsidRPr="00833D89" w:rsidRDefault="006A6F2F" w:rsidP="006A6F2F">
      <w:pPr>
        <w:numPr>
          <w:ilvl w:val="0"/>
          <w:numId w:val="3"/>
        </w:numPr>
        <w:spacing w:after="240"/>
        <w:jc w:val="both"/>
      </w:pPr>
      <w:r>
        <w:rPr>
          <w:b/>
        </w:rPr>
        <w:t>Equipment (ITAR):</w:t>
      </w:r>
      <w:r>
        <w:t xml:space="preserve"> </w:t>
      </w:r>
      <w:r w:rsidRPr="00090779">
        <w:rPr>
          <w:color w:val="333333"/>
          <w:lang w:val="en"/>
        </w:rPr>
        <w:t>Equipment is a combination of parts, components, accessories, attachments, firmware, or software that operate together to perform a function of, as, or for an end-item or system. Equipment may be a subset of an end-item based on the characteristics of the equipment. Equipment that meets the definition of an end-item is an end-item. Equipment that does not meet the definition of an end-item is a component, accessory, attachment, firmware, or software.</w:t>
      </w:r>
    </w:p>
    <w:p w:rsidR="006A6F2F" w:rsidRPr="00C339F9" w:rsidRDefault="006A6F2F" w:rsidP="006A6F2F">
      <w:pPr>
        <w:numPr>
          <w:ilvl w:val="0"/>
          <w:numId w:val="3"/>
        </w:numPr>
        <w:shd w:val="clear" w:color="auto" w:fill="FFFFFF"/>
        <w:tabs>
          <w:tab w:val="left" w:pos="935"/>
          <w:tab w:val="left" w:pos="936"/>
        </w:tabs>
        <w:spacing w:line="235" w:lineRule="auto"/>
        <w:jc w:val="both"/>
        <w:rPr>
          <w:color w:val="000000"/>
          <w:lang w:val="en"/>
        </w:rPr>
      </w:pPr>
      <w:r w:rsidRPr="00833D89">
        <w:rPr>
          <w:b/>
          <w:color w:val="000000"/>
        </w:rPr>
        <w:t>Technical Data (ITAR):</w:t>
      </w:r>
      <w:r w:rsidRPr="00833D89">
        <w:rPr>
          <w:color w:val="000000"/>
        </w:rPr>
        <w:t xml:space="preserve"> M</w:t>
      </w:r>
      <w:proofErr w:type="spellStart"/>
      <w:r w:rsidRPr="00833D89">
        <w:rPr>
          <w:color w:val="000000"/>
          <w:lang w:val="en"/>
        </w:rPr>
        <w:t>eans</w:t>
      </w:r>
      <w:proofErr w:type="spellEnd"/>
      <w:r w:rsidRPr="00833D89">
        <w:rPr>
          <w:color w:val="000000"/>
          <w:lang w:val="en"/>
        </w:rPr>
        <w:t xml:space="preserve"> (a): </w:t>
      </w:r>
      <w:r w:rsidRPr="00833D89">
        <w:rPr>
          <w:rStyle w:val="enumxml1"/>
          <w:color w:val="000000"/>
          <w:lang w:val="en"/>
        </w:rPr>
        <w:t>(1)</w:t>
      </w:r>
      <w:r w:rsidRPr="00833D89">
        <w:rPr>
          <w:color w:val="000000"/>
          <w:lang w:val="en"/>
        </w:rPr>
        <w:t xml:space="preserve"> Information, other than </w:t>
      </w:r>
      <w:hyperlink r:id="rId16" w:history="1">
        <w:r w:rsidRPr="00833D89">
          <w:rPr>
            <w:color w:val="000000"/>
            <w:lang w:val="en"/>
          </w:rPr>
          <w:t>software</w:t>
        </w:r>
      </w:hyperlink>
      <w:r w:rsidRPr="00833D89">
        <w:rPr>
          <w:color w:val="000000"/>
          <w:lang w:val="en"/>
        </w:rPr>
        <w:t xml:space="preserve"> which is required for the design, development, production, manufacture, assembly, operation, repair, testing, maintenance or modification of defense articles. This includes information in the form of blueprints, drawings, photographs, plans, instructions or documentation; </w:t>
      </w:r>
      <w:r w:rsidRPr="00833D89">
        <w:rPr>
          <w:rStyle w:val="enumxml1"/>
          <w:color w:val="000000"/>
          <w:lang w:val="en"/>
        </w:rPr>
        <w:t xml:space="preserve">(2) </w:t>
      </w:r>
      <w:hyperlink r:id="rId17" w:history="1">
        <w:r w:rsidRPr="00833D89">
          <w:rPr>
            <w:color w:val="000000"/>
            <w:lang w:val="en"/>
          </w:rPr>
          <w:t>Classified</w:t>
        </w:r>
      </w:hyperlink>
      <w:r w:rsidRPr="00833D89">
        <w:rPr>
          <w:color w:val="000000"/>
          <w:lang w:val="en"/>
        </w:rPr>
        <w:t xml:space="preserve"> information relating to </w:t>
      </w:r>
      <w:hyperlink r:id="rId18" w:history="1">
        <w:r w:rsidRPr="00833D89">
          <w:rPr>
            <w:color w:val="000000"/>
            <w:lang w:val="en"/>
          </w:rPr>
          <w:t>defense articles</w:t>
        </w:r>
      </w:hyperlink>
      <w:r w:rsidRPr="00833D89">
        <w:rPr>
          <w:color w:val="000000"/>
          <w:lang w:val="en"/>
        </w:rPr>
        <w:t xml:space="preserve"> and </w:t>
      </w:r>
      <w:hyperlink r:id="rId19" w:history="1">
        <w:r w:rsidRPr="00833D89">
          <w:rPr>
            <w:color w:val="000000"/>
            <w:lang w:val="en"/>
          </w:rPr>
          <w:t>defense services</w:t>
        </w:r>
      </w:hyperlink>
      <w:r w:rsidRPr="00833D89">
        <w:rPr>
          <w:color w:val="000000"/>
          <w:lang w:val="en"/>
        </w:rPr>
        <w:t xml:space="preserve"> on the U.S. Munitions List and 600-series items controlled by the Commerce Control List; </w:t>
      </w:r>
      <w:r w:rsidRPr="00833D89">
        <w:rPr>
          <w:rStyle w:val="enumxml1"/>
          <w:color w:val="000000"/>
          <w:lang w:val="en"/>
        </w:rPr>
        <w:t>(3)</w:t>
      </w:r>
      <w:r w:rsidRPr="00833D89">
        <w:rPr>
          <w:color w:val="000000"/>
          <w:lang w:val="en"/>
        </w:rPr>
        <w:t xml:space="preserve"> Information covered by an invention secrecy order; or </w:t>
      </w:r>
      <w:r w:rsidRPr="00833D89">
        <w:rPr>
          <w:rStyle w:val="enumxml1"/>
          <w:color w:val="000000"/>
          <w:lang w:val="en"/>
        </w:rPr>
        <w:t xml:space="preserve">(4) </w:t>
      </w:r>
      <w:hyperlink r:id="rId20" w:history="1">
        <w:r w:rsidRPr="00833D89">
          <w:rPr>
            <w:color w:val="000000"/>
            <w:lang w:val="en"/>
          </w:rPr>
          <w:t>Software</w:t>
        </w:r>
      </w:hyperlink>
      <w:r w:rsidRPr="00833D89">
        <w:rPr>
          <w:color w:val="000000"/>
          <w:lang w:val="en"/>
        </w:rPr>
        <w:t xml:space="preserve"> (</w:t>
      </w:r>
      <w:r w:rsidRPr="00833D89">
        <w:rPr>
          <w:rStyle w:val="et031"/>
          <w:color w:val="000000"/>
          <w:lang w:val="en"/>
        </w:rPr>
        <w:t>see 120.45(f)</w:t>
      </w:r>
      <w:r>
        <w:rPr>
          <w:rStyle w:val="et031"/>
          <w:color w:val="000000"/>
          <w:lang w:val="en"/>
        </w:rPr>
        <w:t>)</w:t>
      </w:r>
      <w:r w:rsidRPr="00833D89">
        <w:rPr>
          <w:color w:val="000000"/>
          <w:lang w:val="en"/>
        </w:rPr>
        <w:t xml:space="preserve"> directly related to defense articles. The definition in (a) does not include information concerning general scientific, mathematical, or engineering principles commonly taught in schools, colleges, and universities, or information in the </w:t>
      </w:r>
      <w:hyperlink r:id="rId21" w:history="1">
        <w:r w:rsidRPr="00833D89">
          <w:rPr>
            <w:color w:val="000000"/>
            <w:lang w:val="en"/>
          </w:rPr>
          <w:t>public domain</w:t>
        </w:r>
      </w:hyperlink>
      <w:r w:rsidRPr="00833D89">
        <w:rPr>
          <w:color w:val="000000"/>
          <w:lang w:val="en"/>
        </w:rPr>
        <w:t xml:space="preserve"> as defined in 120.11 or telemetry data as defined in note 3 to Category XV(f) of part 121 of the ITAR. It also does not include basic marketing information on function or purpose or general system descriptions of defense articles. </w:t>
      </w:r>
    </w:p>
    <w:p w:rsidR="006A6F2F" w:rsidRPr="00833D89" w:rsidRDefault="006A6F2F" w:rsidP="006A6F2F">
      <w:pPr>
        <w:shd w:val="clear" w:color="auto" w:fill="FFFFFF"/>
        <w:tabs>
          <w:tab w:val="left" w:pos="935"/>
          <w:tab w:val="left" w:pos="936"/>
        </w:tabs>
        <w:spacing w:line="235" w:lineRule="auto"/>
        <w:ind w:left="935" w:right="364"/>
        <w:jc w:val="both"/>
        <w:rPr>
          <w:color w:val="000000"/>
          <w:lang w:val="en"/>
        </w:rPr>
      </w:pPr>
    </w:p>
    <w:p w:rsidR="006A6F2F" w:rsidRDefault="006A6F2F" w:rsidP="006A6F2F">
      <w:pPr>
        <w:numPr>
          <w:ilvl w:val="0"/>
          <w:numId w:val="3"/>
        </w:numPr>
        <w:shd w:val="clear" w:color="auto" w:fill="FFFFFF"/>
        <w:tabs>
          <w:tab w:val="left" w:pos="935"/>
          <w:tab w:val="left" w:pos="936"/>
        </w:tabs>
        <w:spacing w:after="240" w:line="235" w:lineRule="auto"/>
        <w:jc w:val="both"/>
      </w:pPr>
      <w:r w:rsidRPr="00833D89">
        <w:rPr>
          <w:b/>
        </w:rPr>
        <w:t>Technology (EAR):</w:t>
      </w:r>
      <w:r w:rsidRPr="007B63D2">
        <w:t xml:space="preserve">  </w:t>
      </w:r>
      <w:r>
        <w:t xml:space="preserve">Information necessary for the “development,” “production,” “use,” operation, installation, maintenance, repair, overhaul, or refurbishing (or other terms specified in ECCNs on the CCL that control “technology”) of an item. “Technology may be in any tangible or intangible form, such as written or verbal communications, blueprints, drawings, photographs, plans, diagrams, models, formulae, tables, engineering design files, manuals, or documentation, electronic medial or information revealed through visual inspection. Further, the modification of the design of an existing </w:t>
      </w:r>
      <w:proofErr w:type="gramStart"/>
      <w:r>
        <w:t>item,</w:t>
      </w:r>
      <w:proofErr w:type="gramEnd"/>
      <w:r>
        <w:t xml:space="preserve"> creates a new item and technology for the modified design is technology for the development or production of the new item. </w:t>
      </w:r>
    </w:p>
    <w:p w:rsidR="006A6F2F" w:rsidRPr="00C339F9" w:rsidRDefault="006A6F2F" w:rsidP="006A6F2F">
      <w:pPr>
        <w:pStyle w:val="p12"/>
        <w:numPr>
          <w:ilvl w:val="0"/>
          <w:numId w:val="3"/>
        </w:numPr>
        <w:spacing w:after="240"/>
        <w:jc w:val="both"/>
        <w:rPr>
          <w:color w:val="000000"/>
          <w:sz w:val="24"/>
          <w:lang w:val="en"/>
        </w:rPr>
      </w:pPr>
      <w:r w:rsidRPr="00833D89">
        <w:rPr>
          <w:sz w:val="24"/>
        </w:rPr>
        <w:lastRenderedPageBreak/>
        <w:t xml:space="preserve"> </w:t>
      </w:r>
      <w:r w:rsidRPr="00833D89">
        <w:rPr>
          <w:b/>
          <w:sz w:val="24"/>
        </w:rPr>
        <w:t>Defense Services (ITAR</w:t>
      </w:r>
      <w:r w:rsidRPr="00833D89">
        <w:rPr>
          <w:b/>
          <w:sz w:val="24"/>
          <w:u w:val="single"/>
        </w:rPr>
        <w:t>)</w:t>
      </w:r>
      <w:r w:rsidRPr="00833D89">
        <w:rPr>
          <w:b/>
          <w:sz w:val="24"/>
        </w:rPr>
        <w:t>:</w:t>
      </w:r>
      <w:r>
        <w:rPr>
          <w:sz w:val="24"/>
        </w:rPr>
        <w:t xml:space="preserve"> </w:t>
      </w:r>
      <w:r w:rsidRPr="00833D89">
        <w:rPr>
          <w:color w:val="000000"/>
          <w:sz w:val="24"/>
        </w:rPr>
        <w:t>M</w:t>
      </w:r>
      <w:proofErr w:type="spellStart"/>
      <w:r w:rsidRPr="00833D89">
        <w:rPr>
          <w:color w:val="000000"/>
          <w:sz w:val="24"/>
          <w:lang w:val="en"/>
        </w:rPr>
        <w:t>eans</w:t>
      </w:r>
      <w:proofErr w:type="spellEnd"/>
      <w:r w:rsidRPr="00833D89">
        <w:rPr>
          <w:color w:val="000000"/>
          <w:sz w:val="24"/>
          <w:lang w:val="en"/>
        </w:rPr>
        <w:t xml:space="preserve">: </w:t>
      </w:r>
      <w:r w:rsidRPr="00833D89">
        <w:rPr>
          <w:rStyle w:val="enumxml1"/>
          <w:color w:val="000000"/>
          <w:sz w:val="24"/>
          <w:lang w:val="en"/>
        </w:rPr>
        <w:t>(1)</w:t>
      </w:r>
      <w:r w:rsidRPr="00833D89">
        <w:rPr>
          <w:color w:val="000000"/>
          <w:sz w:val="24"/>
          <w:lang w:val="en"/>
        </w:rPr>
        <w:t xml:space="preserve"> The furnishing of assistance (including training) to foreign persons, whether in the United States or abroad in the design, development, engineering, manufacture, production, assembly, testing, repair, maintenance, modification, operation, demilitarization, destruction, processing or use of defense articles; </w:t>
      </w:r>
      <w:r w:rsidRPr="00833D89">
        <w:rPr>
          <w:rStyle w:val="enumxml1"/>
          <w:color w:val="000000"/>
          <w:sz w:val="24"/>
          <w:lang w:val="en"/>
        </w:rPr>
        <w:t>(2)</w:t>
      </w:r>
      <w:r w:rsidRPr="00833D89">
        <w:rPr>
          <w:color w:val="000000"/>
          <w:sz w:val="24"/>
          <w:lang w:val="en"/>
        </w:rPr>
        <w:t xml:space="preserve"> The furnishing to </w:t>
      </w:r>
      <w:hyperlink r:id="rId22" w:history="1">
        <w:r w:rsidRPr="00833D89">
          <w:rPr>
            <w:color w:val="000000"/>
            <w:sz w:val="24"/>
            <w:lang w:val="en"/>
          </w:rPr>
          <w:t>foreign persons</w:t>
        </w:r>
      </w:hyperlink>
      <w:r w:rsidRPr="00833D89">
        <w:rPr>
          <w:color w:val="000000"/>
          <w:sz w:val="24"/>
          <w:lang w:val="en"/>
        </w:rPr>
        <w:t xml:space="preserve"> of any </w:t>
      </w:r>
      <w:hyperlink r:id="rId23" w:history="1">
        <w:r w:rsidRPr="00833D89">
          <w:rPr>
            <w:color w:val="000000"/>
            <w:sz w:val="24"/>
            <w:lang w:val="en"/>
          </w:rPr>
          <w:t>technical data</w:t>
        </w:r>
      </w:hyperlink>
      <w:r w:rsidRPr="00833D89">
        <w:rPr>
          <w:color w:val="000000"/>
          <w:sz w:val="24"/>
          <w:lang w:val="en"/>
        </w:rPr>
        <w:t xml:space="preserve"> controlled under this subchapter (see </w:t>
      </w:r>
      <w:r w:rsidRPr="00C339F9">
        <w:rPr>
          <w:color w:val="000000"/>
          <w:sz w:val="24"/>
          <w:lang w:val="en"/>
        </w:rPr>
        <w:t>120.10</w:t>
      </w:r>
      <w:r w:rsidRPr="00833D89">
        <w:rPr>
          <w:color w:val="000000"/>
          <w:sz w:val="24"/>
          <w:lang w:val="en"/>
        </w:rPr>
        <w:t xml:space="preserve">), whether in the United States or abroad; or </w:t>
      </w:r>
      <w:r w:rsidRPr="00833D89">
        <w:rPr>
          <w:rStyle w:val="enumxml1"/>
          <w:color w:val="000000"/>
          <w:sz w:val="24"/>
          <w:lang w:val="en"/>
        </w:rPr>
        <w:t>(3)</w:t>
      </w:r>
      <w:r w:rsidRPr="00833D89">
        <w:rPr>
          <w:color w:val="000000"/>
          <w:sz w:val="24"/>
          <w:lang w:val="en"/>
        </w:rPr>
        <w:t xml:space="preserve"> Military training of foreign units and forces, regular and irregular, including formal or informal instruction of </w:t>
      </w:r>
      <w:hyperlink r:id="rId24" w:history="1">
        <w:r w:rsidRPr="00833D89">
          <w:rPr>
            <w:color w:val="000000"/>
            <w:sz w:val="24"/>
            <w:lang w:val="en"/>
          </w:rPr>
          <w:t>foreign persons</w:t>
        </w:r>
      </w:hyperlink>
      <w:r w:rsidRPr="00833D89">
        <w:rPr>
          <w:color w:val="000000"/>
          <w:sz w:val="24"/>
          <w:lang w:val="en"/>
        </w:rPr>
        <w:t xml:space="preserve"> in the United States or abroad or by correspondence courses, technical, educational, or information publications and media of all kinds, training aid, orientation, training exercise, and military advice. </w:t>
      </w:r>
    </w:p>
    <w:p w:rsidR="006A6F2F" w:rsidRDefault="006A6F2F" w:rsidP="006A6F2F">
      <w:pPr>
        <w:pStyle w:val="p12"/>
        <w:numPr>
          <w:ilvl w:val="0"/>
          <w:numId w:val="3"/>
        </w:numPr>
        <w:spacing w:after="240"/>
        <w:jc w:val="both"/>
        <w:rPr>
          <w:sz w:val="24"/>
        </w:rPr>
      </w:pPr>
      <w:r w:rsidRPr="00DE4CBA">
        <w:rPr>
          <w:b/>
          <w:sz w:val="24"/>
        </w:rPr>
        <w:t>Software (ITAR):</w:t>
      </w:r>
      <w:r w:rsidRPr="00DE4CBA">
        <w:rPr>
          <w:color w:val="000000"/>
          <w:sz w:val="24"/>
          <w:lang w:val="en"/>
        </w:rPr>
        <w:t xml:space="preserve"> </w:t>
      </w:r>
      <w:r w:rsidRPr="00DE4CBA">
        <w:rPr>
          <w:rStyle w:val="et031"/>
          <w:color w:val="000000"/>
          <w:sz w:val="24"/>
          <w:lang w:val="en"/>
        </w:rPr>
        <w:t>Software</w:t>
      </w:r>
      <w:r w:rsidRPr="00DE4CBA">
        <w:rPr>
          <w:color w:val="000000"/>
          <w:sz w:val="24"/>
          <w:lang w:val="en"/>
        </w:rPr>
        <w:t xml:space="preserve"> includes but is not limited to the system functional design, logic flow, algorithms, application programs, operating systems, and support </w:t>
      </w:r>
      <w:hyperlink r:id="rId25" w:history="1">
        <w:r w:rsidRPr="00DE4CBA">
          <w:rPr>
            <w:color w:val="000000"/>
            <w:sz w:val="24"/>
            <w:lang w:val="en"/>
          </w:rPr>
          <w:t>software</w:t>
        </w:r>
      </w:hyperlink>
      <w:r w:rsidRPr="00DE4CBA">
        <w:rPr>
          <w:color w:val="000000"/>
          <w:sz w:val="24"/>
          <w:lang w:val="en"/>
        </w:rPr>
        <w:t xml:space="preserve"> for design, implementation, test, operation, diagnosis and repair. </w:t>
      </w:r>
    </w:p>
    <w:p w:rsidR="0041245F" w:rsidRPr="006A6F2F" w:rsidRDefault="0041245F" w:rsidP="006A6F2F"/>
    <w:sectPr w:rsidR="0041245F" w:rsidRPr="006A6F2F" w:rsidSect="00EA2E2F">
      <w:headerReference w:type="default" r:id="rId26"/>
      <w:footerReference w:type="default" r:id="rId27"/>
      <w:pgSz w:w="12240" w:h="15840"/>
      <w:pgMar w:top="180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C3" w:rsidRDefault="005903C3" w:rsidP="00A16B8E">
      <w:r>
        <w:separator/>
      </w:r>
    </w:p>
  </w:endnote>
  <w:endnote w:type="continuationSeparator" w:id="0">
    <w:p w:rsidR="005903C3" w:rsidRDefault="005903C3" w:rsidP="00A1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2F" w:rsidRPr="00697D2E" w:rsidRDefault="00EA2E2F" w:rsidP="00EA2E2F">
    <w:pPr>
      <w:pStyle w:val="Footer"/>
      <w:jc w:val="center"/>
      <w:rPr>
        <w:b/>
        <w:color w:val="FF0000"/>
      </w:rPr>
    </w:pPr>
    <w:r w:rsidRPr="00697D2E">
      <w:rPr>
        <w:b/>
        <w:color w:val="FF0000"/>
      </w:rPr>
      <w:t>UNCLASSIF</w:t>
    </w:r>
    <w:r w:rsidR="00E13C17">
      <w:rPr>
        <w:b/>
        <w:color w:val="FF0000"/>
      </w:rPr>
      <w:t>I</w:t>
    </w:r>
    <w:r w:rsidRPr="00697D2E">
      <w:rPr>
        <w:b/>
        <w:color w:val="FF0000"/>
      </w:rPr>
      <w:t xml:space="preserve">ED, UNCONTROLLED COPY  </w:t>
    </w:r>
  </w:p>
  <w:p w:rsidR="00EA2E2F" w:rsidRDefault="00EA2E2F" w:rsidP="00EA2E2F">
    <w:pPr>
      <w:pStyle w:val="Footer"/>
      <w:jc w:val="center"/>
    </w:pPr>
    <w:r w:rsidRPr="00697D2E">
      <w:t>This document is only under control when accessed through Agile or the company SharePoint</w:t>
    </w:r>
    <w:r>
      <w:t xml:space="preserve"> site.</w:t>
    </w:r>
  </w:p>
  <w:p w:rsidR="00A16B8E" w:rsidRPr="00EA2E2F" w:rsidRDefault="00EA2E2F" w:rsidP="00352FF6">
    <w:pPr>
      <w:pStyle w:val="Footer"/>
      <w:jc w:val="center"/>
    </w:pPr>
    <w:r w:rsidRPr="00697D2E">
      <w:t>Once printed, this document is no longer 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C3" w:rsidRDefault="005903C3" w:rsidP="00A16B8E">
      <w:r>
        <w:separator/>
      </w:r>
    </w:p>
  </w:footnote>
  <w:footnote w:type="continuationSeparator" w:id="0">
    <w:p w:rsidR="005903C3" w:rsidRDefault="005903C3" w:rsidP="00A16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8E" w:rsidRDefault="00A16B8E" w:rsidP="00A16B8E">
    <w:pPr>
      <w:pStyle w:val="Header"/>
      <w:spacing w:after="120"/>
    </w:pPr>
    <w:r>
      <w:rPr>
        <w:rFonts w:ascii="Arial" w:hAnsi="Arial"/>
        <w:sz w:val="18"/>
      </w:rPr>
      <w:tab/>
    </w:r>
    <w:r>
      <w:rPr>
        <w:rFonts w:ascii="Arial" w:hAnsi="Arial"/>
        <w:sz w:val="18"/>
      </w:rPr>
      <w:tab/>
    </w:r>
  </w:p>
  <w:tbl>
    <w:tblPr>
      <w:tblStyle w:val="TableGrid"/>
      <w:tblW w:w="9360" w:type="dxa"/>
      <w:tblInd w:w="108" w:type="dxa"/>
      <w:tblLook w:val="04A0" w:firstRow="1" w:lastRow="0" w:firstColumn="1" w:lastColumn="0" w:noHBand="0" w:noVBand="1"/>
    </w:tblPr>
    <w:tblGrid>
      <w:gridCol w:w="1530"/>
      <w:gridCol w:w="3960"/>
      <w:gridCol w:w="1980"/>
      <w:gridCol w:w="1890"/>
    </w:tblGrid>
    <w:tr w:rsidR="00EA2E2F" w:rsidTr="000B20A0">
      <w:trPr>
        <w:trHeight w:hRule="exact" w:val="576"/>
      </w:trPr>
      <w:tc>
        <w:tcPr>
          <w:tcW w:w="1530" w:type="dxa"/>
          <w:vMerge w:val="restart"/>
          <w:vAlign w:val="center"/>
        </w:tcPr>
        <w:p w:rsidR="00EA2E2F" w:rsidRDefault="00EA2E2F" w:rsidP="00EA2E2F">
          <w:pPr>
            <w:pStyle w:val="Header"/>
            <w:spacing w:before="100" w:beforeAutospacing="1"/>
            <w:ind w:left="29"/>
          </w:pPr>
          <w:r>
            <w:rPr>
              <w:noProof/>
            </w:rPr>
            <w:drawing>
              <wp:inline distT="0" distB="0" distL="0" distR="0" wp14:anchorId="4975B4A2" wp14:editId="439F76D4">
                <wp:extent cx="781050" cy="60353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 Squa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85" cy="611062"/>
                        </a:xfrm>
                        <a:prstGeom prst="rect">
                          <a:avLst/>
                        </a:prstGeom>
                      </pic:spPr>
                    </pic:pic>
                  </a:graphicData>
                </a:graphic>
              </wp:inline>
            </w:drawing>
          </w:r>
        </w:p>
      </w:tc>
      <w:tc>
        <w:tcPr>
          <w:tcW w:w="3960" w:type="dxa"/>
          <w:tcBorders>
            <w:bottom w:val="nil"/>
          </w:tcBorders>
        </w:tcPr>
        <w:p w:rsidR="00EA2E2F" w:rsidRPr="00352FF6" w:rsidRDefault="00EA2E2F" w:rsidP="00EA2E2F">
          <w:pPr>
            <w:pStyle w:val="Header"/>
            <w:ind w:left="30"/>
          </w:pPr>
          <w:r w:rsidRPr="00352FF6">
            <w:t>SUBJECT:</w:t>
          </w:r>
        </w:p>
      </w:tc>
      <w:tc>
        <w:tcPr>
          <w:tcW w:w="1980" w:type="dxa"/>
        </w:tcPr>
        <w:p w:rsidR="00EA2E2F" w:rsidRPr="00352FF6" w:rsidRDefault="00EA2E2F" w:rsidP="00EA2E2F">
          <w:pPr>
            <w:pStyle w:val="Header"/>
          </w:pPr>
          <w:r w:rsidRPr="00352FF6">
            <w:t xml:space="preserve">EFFECTIVE DATE: </w:t>
          </w:r>
        </w:p>
        <w:p w:rsidR="00EA2E2F" w:rsidRPr="00352FF6" w:rsidRDefault="000F35E0" w:rsidP="00833AE2">
          <w:pPr>
            <w:pStyle w:val="Header"/>
          </w:pPr>
          <w:r>
            <w:t>08/05</w:t>
          </w:r>
          <w:r w:rsidR="0041245F" w:rsidRPr="00352FF6">
            <w:t>/201</w:t>
          </w:r>
          <w:r w:rsidR="00833AE2">
            <w:t>9</w:t>
          </w:r>
        </w:p>
      </w:tc>
      <w:tc>
        <w:tcPr>
          <w:tcW w:w="1890" w:type="dxa"/>
        </w:tcPr>
        <w:p w:rsidR="00EA2E2F" w:rsidRPr="00352FF6" w:rsidRDefault="00EA2E2F" w:rsidP="00EA2E2F">
          <w:pPr>
            <w:pStyle w:val="Header"/>
          </w:pPr>
          <w:r w:rsidRPr="00352FF6">
            <w:t xml:space="preserve">REVISION: </w:t>
          </w:r>
        </w:p>
        <w:p w:rsidR="00EA2E2F" w:rsidRPr="00352FF6" w:rsidRDefault="006A6F2F" w:rsidP="00EA2E2F">
          <w:pPr>
            <w:pStyle w:val="Header"/>
          </w:pPr>
          <w:r>
            <w:t>A</w:t>
          </w:r>
        </w:p>
      </w:tc>
    </w:tr>
    <w:tr w:rsidR="00EA2E2F" w:rsidTr="000B20A0">
      <w:trPr>
        <w:trHeight w:hRule="exact" w:val="576"/>
      </w:trPr>
      <w:tc>
        <w:tcPr>
          <w:tcW w:w="1530" w:type="dxa"/>
          <w:vMerge/>
          <w:vAlign w:val="center"/>
        </w:tcPr>
        <w:p w:rsidR="00EA2E2F" w:rsidRPr="00FB5B20" w:rsidRDefault="00EA2E2F" w:rsidP="00EA2E2F">
          <w:pPr>
            <w:pStyle w:val="Header"/>
            <w:rPr>
              <w:sz w:val="28"/>
              <w:szCs w:val="28"/>
            </w:rPr>
          </w:pPr>
        </w:p>
      </w:tc>
      <w:tc>
        <w:tcPr>
          <w:tcW w:w="3960" w:type="dxa"/>
          <w:tcBorders>
            <w:top w:val="nil"/>
          </w:tcBorders>
        </w:tcPr>
        <w:p w:rsidR="00EA2E2F" w:rsidRPr="00352FF6" w:rsidRDefault="0041245F" w:rsidP="00EA2E2F">
          <w:pPr>
            <w:pStyle w:val="Header"/>
            <w:rPr>
              <w:b/>
            </w:rPr>
          </w:pPr>
          <w:r w:rsidRPr="00352FF6">
            <w:rPr>
              <w:b/>
            </w:rPr>
            <w:t>SUPPLIER ITAR CERTIFICATION</w:t>
          </w:r>
          <w:r w:rsidR="006A6F2F">
            <w:rPr>
              <w:b/>
            </w:rPr>
            <w:t xml:space="preserve"> – SUPPLIMENTAL INFORMATION</w:t>
          </w:r>
        </w:p>
        <w:p w:rsidR="00EA2E2F" w:rsidRPr="00352FF6" w:rsidRDefault="00EA2E2F" w:rsidP="00EA2E2F">
          <w:pPr>
            <w:pStyle w:val="Header"/>
          </w:pPr>
        </w:p>
        <w:p w:rsidR="00EA2E2F" w:rsidRPr="00352FF6" w:rsidRDefault="00EA2E2F" w:rsidP="00EA2E2F">
          <w:pPr>
            <w:pStyle w:val="Header"/>
          </w:pPr>
        </w:p>
      </w:tc>
      <w:tc>
        <w:tcPr>
          <w:tcW w:w="1980" w:type="dxa"/>
        </w:tcPr>
        <w:p w:rsidR="00EA2E2F" w:rsidRPr="00352FF6" w:rsidRDefault="00EA2E2F" w:rsidP="000F35E0">
          <w:pPr>
            <w:pStyle w:val="Header"/>
          </w:pPr>
          <w:r w:rsidRPr="00352FF6">
            <w:t xml:space="preserve">FORM NUMBER: </w:t>
          </w:r>
          <w:r w:rsidR="0041245F" w:rsidRPr="00352FF6">
            <w:t>MM-FM-</w:t>
          </w:r>
          <w:r w:rsidR="000F35E0">
            <w:t>250</w:t>
          </w:r>
        </w:p>
      </w:tc>
      <w:tc>
        <w:tcPr>
          <w:tcW w:w="1890" w:type="dxa"/>
        </w:tcPr>
        <w:sdt>
          <w:sdtPr>
            <w:id w:val="-330915992"/>
            <w:docPartObj>
              <w:docPartGallery w:val="Page Numbers (Top of Page)"/>
              <w:docPartUnique/>
            </w:docPartObj>
          </w:sdtPr>
          <w:sdtEndPr/>
          <w:sdtContent>
            <w:p w:rsidR="00EA2E2F" w:rsidRPr="00352FF6" w:rsidRDefault="00EA2E2F" w:rsidP="00EA2E2F">
              <w:pPr>
                <w:pStyle w:val="Header"/>
              </w:pPr>
              <w:r w:rsidRPr="00352FF6">
                <w:t xml:space="preserve">PAGE </w:t>
              </w:r>
              <w:r w:rsidRPr="00352FF6">
                <w:rPr>
                  <w:bCs/>
                </w:rPr>
                <w:fldChar w:fldCharType="begin"/>
              </w:r>
              <w:r w:rsidRPr="00352FF6">
                <w:rPr>
                  <w:bCs/>
                </w:rPr>
                <w:instrText xml:space="preserve"> PAGE </w:instrText>
              </w:r>
              <w:r w:rsidRPr="00352FF6">
                <w:rPr>
                  <w:bCs/>
                </w:rPr>
                <w:fldChar w:fldCharType="separate"/>
              </w:r>
              <w:r w:rsidR="00506404">
                <w:rPr>
                  <w:bCs/>
                  <w:noProof/>
                </w:rPr>
                <w:t>1</w:t>
              </w:r>
              <w:r w:rsidRPr="00352FF6">
                <w:rPr>
                  <w:bCs/>
                </w:rPr>
                <w:fldChar w:fldCharType="end"/>
              </w:r>
              <w:r w:rsidRPr="00352FF6">
                <w:t xml:space="preserve"> OF </w:t>
              </w:r>
              <w:r w:rsidRPr="00352FF6">
                <w:rPr>
                  <w:bCs/>
                </w:rPr>
                <w:fldChar w:fldCharType="begin"/>
              </w:r>
              <w:r w:rsidRPr="00352FF6">
                <w:rPr>
                  <w:bCs/>
                </w:rPr>
                <w:instrText xml:space="preserve"> NUMPAGES  </w:instrText>
              </w:r>
              <w:r w:rsidRPr="00352FF6">
                <w:rPr>
                  <w:bCs/>
                </w:rPr>
                <w:fldChar w:fldCharType="separate"/>
              </w:r>
              <w:r w:rsidR="00506404">
                <w:rPr>
                  <w:bCs/>
                  <w:noProof/>
                </w:rPr>
                <w:t>3</w:t>
              </w:r>
              <w:r w:rsidRPr="00352FF6">
                <w:rPr>
                  <w:bCs/>
                </w:rPr>
                <w:fldChar w:fldCharType="end"/>
              </w:r>
            </w:p>
          </w:sdtContent>
        </w:sdt>
        <w:p w:rsidR="00EA2E2F" w:rsidRPr="00352FF6" w:rsidRDefault="00EA2E2F" w:rsidP="00EA2E2F">
          <w:pPr>
            <w:pStyle w:val="Header"/>
          </w:pPr>
        </w:p>
      </w:tc>
    </w:tr>
  </w:tbl>
  <w:p w:rsidR="00A16B8E" w:rsidRDefault="00A16B8E" w:rsidP="00A16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03D"/>
    <w:multiLevelType w:val="hybridMultilevel"/>
    <w:tmpl w:val="A08EE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B609FB"/>
    <w:multiLevelType w:val="hybridMultilevel"/>
    <w:tmpl w:val="859ACD30"/>
    <w:lvl w:ilvl="0" w:tplc="0409000F">
      <w:start w:val="1"/>
      <w:numFmt w:val="decimal"/>
      <w:lvlText w:val="%1."/>
      <w:lvlJc w:val="left"/>
      <w:pPr>
        <w:ind w:left="935" w:hanging="360"/>
      </w:pPr>
      <w:rPr>
        <w:rFonts w:hint="default"/>
      </w:rPr>
    </w:lvl>
    <w:lvl w:ilvl="1" w:tplc="04090003">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2">
    <w:nsid w:val="2F9B02D9"/>
    <w:multiLevelType w:val="multilevel"/>
    <w:tmpl w:val="18BC515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8E"/>
    <w:rsid w:val="00083EF8"/>
    <w:rsid w:val="000C3D47"/>
    <w:rsid w:val="000C7E3A"/>
    <w:rsid w:val="000F35E0"/>
    <w:rsid w:val="0014367B"/>
    <w:rsid w:val="00173088"/>
    <w:rsid w:val="001929D7"/>
    <w:rsid w:val="00317414"/>
    <w:rsid w:val="00325759"/>
    <w:rsid w:val="00332AC9"/>
    <w:rsid w:val="00352FF6"/>
    <w:rsid w:val="00372B71"/>
    <w:rsid w:val="0041245F"/>
    <w:rsid w:val="00454BCD"/>
    <w:rsid w:val="00487C09"/>
    <w:rsid w:val="004D2E3E"/>
    <w:rsid w:val="00506404"/>
    <w:rsid w:val="005903C3"/>
    <w:rsid w:val="0059686F"/>
    <w:rsid w:val="005F0B86"/>
    <w:rsid w:val="00605AE3"/>
    <w:rsid w:val="00614DA2"/>
    <w:rsid w:val="006A6F2F"/>
    <w:rsid w:val="006E190C"/>
    <w:rsid w:val="0073042B"/>
    <w:rsid w:val="00772F2B"/>
    <w:rsid w:val="00801A97"/>
    <w:rsid w:val="00833AE2"/>
    <w:rsid w:val="00913547"/>
    <w:rsid w:val="009339DE"/>
    <w:rsid w:val="0095295A"/>
    <w:rsid w:val="00971BA7"/>
    <w:rsid w:val="00A16B8E"/>
    <w:rsid w:val="00A16E9E"/>
    <w:rsid w:val="00A17E65"/>
    <w:rsid w:val="00B446A4"/>
    <w:rsid w:val="00BE0BAC"/>
    <w:rsid w:val="00C33DF6"/>
    <w:rsid w:val="00CC21E3"/>
    <w:rsid w:val="00CD7DCF"/>
    <w:rsid w:val="00D21F93"/>
    <w:rsid w:val="00D650F9"/>
    <w:rsid w:val="00E13C17"/>
    <w:rsid w:val="00E3376E"/>
    <w:rsid w:val="00E44103"/>
    <w:rsid w:val="00EA2E2F"/>
    <w:rsid w:val="00EA7DB3"/>
    <w:rsid w:val="00ED62F8"/>
    <w:rsid w:val="00F2315E"/>
    <w:rsid w:val="00F66402"/>
    <w:rsid w:val="00F8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64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6B8E"/>
  </w:style>
  <w:style w:type="paragraph" w:styleId="Footer">
    <w:name w:val="footer"/>
    <w:basedOn w:val="Normal"/>
    <w:link w:val="FooterChar"/>
    <w:uiPriority w:val="99"/>
    <w:unhideWhenUsed/>
    <w:rsid w:val="00A16B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6B8E"/>
  </w:style>
  <w:style w:type="table" w:styleId="TableGrid">
    <w:name w:val="Table Grid"/>
    <w:basedOn w:val="TableNormal"/>
    <w:uiPriority w:val="59"/>
    <w:rsid w:val="00A1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B8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14DA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14D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14DA2"/>
    <w:rPr>
      <w:rFonts w:ascii="Tahoma" w:hAnsi="Tahoma" w:cs="Tahoma"/>
      <w:sz w:val="16"/>
      <w:szCs w:val="16"/>
    </w:rPr>
  </w:style>
  <w:style w:type="character" w:customStyle="1" w:styleId="Heading1Char">
    <w:name w:val="Heading 1 Char"/>
    <w:basedOn w:val="DefaultParagraphFont"/>
    <w:link w:val="Heading1"/>
    <w:uiPriority w:val="9"/>
    <w:rsid w:val="00F664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6402"/>
    <w:pPr>
      <w:outlineLvl w:val="9"/>
    </w:pPr>
    <w:rPr>
      <w:lang w:eastAsia="ja-JP"/>
    </w:rPr>
  </w:style>
  <w:style w:type="paragraph" w:styleId="TOC1">
    <w:name w:val="toc 1"/>
    <w:basedOn w:val="Normal"/>
    <w:next w:val="Normal"/>
    <w:autoRedefine/>
    <w:uiPriority w:val="39"/>
    <w:unhideWhenUsed/>
    <w:rsid w:val="00F66402"/>
    <w:pPr>
      <w:spacing w:after="100" w:line="276"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66402"/>
    <w:rPr>
      <w:color w:val="0000FF" w:themeColor="hyperlink"/>
      <w:u w:val="single"/>
    </w:rPr>
  </w:style>
  <w:style w:type="paragraph" w:customStyle="1" w:styleId="p12">
    <w:name w:val="p12"/>
    <w:basedOn w:val="Normal"/>
    <w:rsid w:val="006A6F2F"/>
    <w:pPr>
      <w:widowControl w:val="0"/>
      <w:tabs>
        <w:tab w:val="left" w:pos="204"/>
      </w:tabs>
    </w:pPr>
    <w:rPr>
      <w:sz w:val="22"/>
    </w:rPr>
  </w:style>
  <w:style w:type="paragraph" w:styleId="FootnoteText">
    <w:name w:val="footnote text"/>
    <w:basedOn w:val="Normal"/>
    <w:link w:val="FootnoteTextChar"/>
    <w:uiPriority w:val="99"/>
    <w:rsid w:val="006A6F2F"/>
    <w:rPr>
      <w:sz w:val="20"/>
      <w:szCs w:val="20"/>
    </w:rPr>
  </w:style>
  <w:style w:type="character" w:customStyle="1" w:styleId="FootnoteTextChar">
    <w:name w:val="Footnote Text Char"/>
    <w:basedOn w:val="DefaultParagraphFont"/>
    <w:link w:val="FootnoteText"/>
    <w:uiPriority w:val="99"/>
    <w:rsid w:val="006A6F2F"/>
    <w:rPr>
      <w:rFonts w:ascii="Times New Roman" w:eastAsia="Times New Roman" w:hAnsi="Times New Roman" w:cs="Times New Roman"/>
      <w:sz w:val="20"/>
      <w:szCs w:val="20"/>
    </w:rPr>
  </w:style>
  <w:style w:type="character" w:customStyle="1" w:styleId="ilfuvd">
    <w:name w:val="ilfuvd"/>
    <w:rsid w:val="006A6F2F"/>
  </w:style>
  <w:style w:type="character" w:customStyle="1" w:styleId="et031">
    <w:name w:val="et031"/>
    <w:rsid w:val="006A6F2F"/>
    <w:rPr>
      <w:i/>
      <w:iCs/>
    </w:rPr>
  </w:style>
  <w:style w:type="character" w:customStyle="1" w:styleId="enumxml1">
    <w:name w:val="enumxml1"/>
    <w:rsid w:val="006A6F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64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6B8E"/>
  </w:style>
  <w:style w:type="paragraph" w:styleId="Footer">
    <w:name w:val="footer"/>
    <w:basedOn w:val="Normal"/>
    <w:link w:val="FooterChar"/>
    <w:uiPriority w:val="99"/>
    <w:unhideWhenUsed/>
    <w:rsid w:val="00A16B8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6B8E"/>
  </w:style>
  <w:style w:type="table" w:styleId="TableGrid">
    <w:name w:val="Table Grid"/>
    <w:basedOn w:val="TableNormal"/>
    <w:uiPriority w:val="59"/>
    <w:rsid w:val="00A16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B8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14DA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614D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14DA2"/>
    <w:rPr>
      <w:rFonts w:ascii="Tahoma" w:hAnsi="Tahoma" w:cs="Tahoma"/>
      <w:sz w:val="16"/>
      <w:szCs w:val="16"/>
    </w:rPr>
  </w:style>
  <w:style w:type="character" w:customStyle="1" w:styleId="Heading1Char">
    <w:name w:val="Heading 1 Char"/>
    <w:basedOn w:val="DefaultParagraphFont"/>
    <w:link w:val="Heading1"/>
    <w:uiPriority w:val="9"/>
    <w:rsid w:val="00F664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6402"/>
    <w:pPr>
      <w:outlineLvl w:val="9"/>
    </w:pPr>
    <w:rPr>
      <w:lang w:eastAsia="ja-JP"/>
    </w:rPr>
  </w:style>
  <w:style w:type="paragraph" w:styleId="TOC1">
    <w:name w:val="toc 1"/>
    <w:basedOn w:val="Normal"/>
    <w:next w:val="Normal"/>
    <w:autoRedefine/>
    <w:uiPriority w:val="39"/>
    <w:unhideWhenUsed/>
    <w:rsid w:val="00F66402"/>
    <w:pPr>
      <w:spacing w:after="100" w:line="276"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66402"/>
    <w:rPr>
      <w:color w:val="0000FF" w:themeColor="hyperlink"/>
      <w:u w:val="single"/>
    </w:rPr>
  </w:style>
  <w:style w:type="paragraph" w:customStyle="1" w:styleId="p12">
    <w:name w:val="p12"/>
    <w:basedOn w:val="Normal"/>
    <w:rsid w:val="006A6F2F"/>
    <w:pPr>
      <w:widowControl w:val="0"/>
      <w:tabs>
        <w:tab w:val="left" w:pos="204"/>
      </w:tabs>
    </w:pPr>
    <w:rPr>
      <w:sz w:val="22"/>
    </w:rPr>
  </w:style>
  <w:style w:type="paragraph" w:styleId="FootnoteText">
    <w:name w:val="footnote text"/>
    <w:basedOn w:val="Normal"/>
    <w:link w:val="FootnoteTextChar"/>
    <w:uiPriority w:val="99"/>
    <w:rsid w:val="006A6F2F"/>
    <w:rPr>
      <w:sz w:val="20"/>
      <w:szCs w:val="20"/>
    </w:rPr>
  </w:style>
  <w:style w:type="character" w:customStyle="1" w:styleId="FootnoteTextChar">
    <w:name w:val="Footnote Text Char"/>
    <w:basedOn w:val="DefaultParagraphFont"/>
    <w:link w:val="FootnoteText"/>
    <w:uiPriority w:val="99"/>
    <w:rsid w:val="006A6F2F"/>
    <w:rPr>
      <w:rFonts w:ascii="Times New Roman" w:eastAsia="Times New Roman" w:hAnsi="Times New Roman" w:cs="Times New Roman"/>
      <w:sz w:val="20"/>
      <w:szCs w:val="20"/>
    </w:rPr>
  </w:style>
  <w:style w:type="character" w:customStyle="1" w:styleId="ilfuvd">
    <w:name w:val="ilfuvd"/>
    <w:rsid w:val="006A6F2F"/>
  </w:style>
  <w:style w:type="character" w:customStyle="1" w:styleId="et031">
    <w:name w:val="et031"/>
    <w:rsid w:val="006A6F2F"/>
    <w:rPr>
      <w:i/>
      <w:iCs/>
    </w:rPr>
  </w:style>
  <w:style w:type="character" w:customStyle="1" w:styleId="enumxml1">
    <w:name w:val="enumxml1"/>
    <w:rsid w:val="006A6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uscode/text/8/1101" TargetMode="External"/><Relationship Id="rId18" Type="http://schemas.openxmlformats.org/officeDocument/2006/relationships/hyperlink" Target="https://www.law.cornell.edu/definitions/index.php?width=840&amp;height=800&amp;iframe=true&amp;def_id=0a0d876a32581466c3e41314d1e4123d&amp;term_occur=1&amp;term_src=Title:22:Chapter:I:Subchapter:M:Part:120:120.1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ded630d73cbeaf238ba008413c083a7a&amp;term_occur=1&amp;term_src=Title:22:Chapter:I:Subchapter:M:Part:120:120.10" TargetMode="External"/><Relationship Id="rId7" Type="http://schemas.openxmlformats.org/officeDocument/2006/relationships/footnotes" Target="footnotes.xml"/><Relationship Id="rId12" Type="http://schemas.openxmlformats.org/officeDocument/2006/relationships/hyperlink" Target="https://www.law.cornell.edu/definitions/index.php?width=840&amp;height=800&amp;iframe=true&amp;def_id=f7e53bad9e1ee125c3c318a60350165a&amp;term_occur=2&amp;term_src=Title:22:Chapter:I:Subchapter:M:Part:120:120.15" TargetMode="External"/><Relationship Id="rId17" Type="http://schemas.openxmlformats.org/officeDocument/2006/relationships/hyperlink" Target="https://www.law.cornell.edu/definitions/index.php?width=840&amp;height=800&amp;iframe=true&amp;def_id=b99582539d2244a7b2e5a42469fbae9e&amp;term_occur=1&amp;term_src=Title:22:Chapter:I:Subchapter:M:Part:120:120.10" TargetMode="External"/><Relationship Id="rId25" Type="http://schemas.openxmlformats.org/officeDocument/2006/relationships/hyperlink" Target="https://www.law.cornell.edu/definitions/index.php?width=840&amp;height=800&amp;iframe=true&amp;def_id=29629422915b7fb94e1a224540d869da&amp;term_occur=3&amp;term_src=Title:22:Chapter:I:Subchapter:M:Part:120:120.45"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29629422915b7fb94e1a224540d869da&amp;term_occur=1&amp;term_src=Title:22:Chapter:I:Subchapter:M:Part:120:120.10" TargetMode="External"/><Relationship Id="rId20" Type="http://schemas.openxmlformats.org/officeDocument/2006/relationships/hyperlink" Target="https://www.law.cornell.edu/definitions/index.php?width=840&amp;height=800&amp;iframe=true&amp;def_id=29629422915b7fb94e1a224540d869da&amp;term_occur=2&amp;term_src=Title:22:Chapter:I:Subchapter:M:Part:120:120.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uscode/text/8/1324b" TargetMode="External"/><Relationship Id="rId24" Type="http://schemas.openxmlformats.org/officeDocument/2006/relationships/hyperlink" Target="https://www.law.cornell.edu/definitions/index.php?width=840&amp;height=800&amp;iframe=true&amp;def_id=92e0dba7abcc6a1243b3e932a46e7ec7&amp;term_occur=2&amp;term_src=Title:22:Chapter:I:Subchapter:M:Part:120:120.9" TargetMode="External"/><Relationship Id="rId5" Type="http://schemas.openxmlformats.org/officeDocument/2006/relationships/settings" Target="settings.xml"/><Relationship Id="rId15" Type="http://schemas.openxmlformats.org/officeDocument/2006/relationships/hyperlink" Target="https://www.law.cornell.edu/definitions/index.php?width=840&amp;height=800&amp;iframe=true&amp;def_id=92e0dba7abcc6a1243b3e932a46e7ec7&amp;term_occur=1&amp;term_src=Title:22:Chapter:I:Subchapter:M:Part:120:120.15" TargetMode="External"/><Relationship Id="rId23" Type="http://schemas.openxmlformats.org/officeDocument/2006/relationships/hyperlink" Target="https://www.law.cornell.edu/definitions/index.php?width=840&amp;height=800&amp;iframe=true&amp;def_id=b9cae4a208a0590987ffaf637e314109&amp;term_occur=1&amp;term_src=Title:22:Chapter:I:Subchapter:M:Part:120:120.9" TargetMode="External"/><Relationship Id="rId28" Type="http://schemas.openxmlformats.org/officeDocument/2006/relationships/fontTable" Target="fontTable.xml"/><Relationship Id="rId10" Type="http://schemas.openxmlformats.org/officeDocument/2006/relationships/hyperlink" Target="https://www.law.cornell.edu/uscode/text/8/1101" TargetMode="External"/><Relationship Id="rId19" Type="http://schemas.openxmlformats.org/officeDocument/2006/relationships/hyperlink" Target="https://www.law.cornell.edu/definitions/index.php?width=840&amp;height=800&amp;iframe=true&amp;def_id=f743b9d34e312308d20f27ce0b2a743a&amp;term_occur=1&amp;term_src=Title:22:Chapter:I:Subchapter:M:Part:120:120.10" TargetMode="External"/><Relationship Id="rId4" Type="http://schemas.microsoft.com/office/2007/relationships/stylesWithEffects" Target="stylesWithEffects.xml"/><Relationship Id="rId9" Type="http://schemas.openxmlformats.org/officeDocument/2006/relationships/hyperlink" Target="https://www.law.cornell.edu/definitions/index.php?width=840&amp;height=800&amp;iframe=true&amp;def_id=f7e53bad9e1ee125c3c318a60350165a&amp;term_occur=1&amp;term_src=Title:22:Chapter:I:Subchapter:M:Part:120:120.16" TargetMode="External"/><Relationship Id="rId14" Type="http://schemas.openxmlformats.org/officeDocument/2006/relationships/hyperlink" Target="https://www.law.cornell.edu/uscode/text/8/1324b" TargetMode="External"/><Relationship Id="rId22" Type="http://schemas.openxmlformats.org/officeDocument/2006/relationships/hyperlink" Target="https://www.law.cornell.edu/definitions/index.php?width=840&amp;height=800&amp;iframe=true&amp;def_id=92e0dba7abcc6a1243b3e932a46e7ec7&amp;term_occur=1&amp;term_src=Title:22:Chapter:I:Subchapter:M:Part:120:120.9"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F8A7-2A4F-44E1-BD62-4966B1CE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1510</Words>
  <Characters>8610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Andruk, Raymond</dc:creator>
  <cp:lastModifiedBy>Yazbeck, Julie</cp:lastModifiedBy>
  <cp:revision>2</cp:revision>
  <dcterms:created xsi:type="dcterms:W3CDTF">2019-08-07T14:25:00Z</dcterms:created>
  <dcterms:modified xsi:type="dcterms:W3CDTF">2019-08-07T14:25:00Z</dcterms:modified>
</cp:coreProperties>
</file>