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A619B" w:rsidRPr="004A619B" w:rsidRDefault="004A619B" w:rsidP="004A619B">
      <w:pPr>
        <w:rPr>
          <w:rFonts w:ascii="Helvetica" w:eastAsia="Times New Roman" w:hAnsi="Helvetica" w:cs="Helvetica"/>
          <w:color w:val="0071BC"/>
          <w:sz w:val="26"/>
          <w:szCs w:val="26"/>
          <w:shd w:val="clear" w:color="auto" w:fill="FFFFFF"/>
        </w:rPr>
      </w:pPr>
      <w:r w:rsidRPr="004A619B">
        <w:rPr>
          <w:rFonts w:ascii="Times New Roman" w:eastAsia="Times New Roman" w:hAnsi="Times New Roman"/>
          <w:sz w:val="24"/>
          <w:szCs w:val="24"/>
        </w:rPr>
        <w:fldChar w:fldCharType="begin"/>
      </w:r>
      <w:r w:rsidRPr="004A619B">
        <w:rPr>
          <w:rFonts w:ascii="Times New Roman" w:eastAsia="Times New Roman" w:hAnsi="Times New Roman"/>
          <w:sz w:val="24"/>
          <w:szCs w:val="24"/>
        </w:rPr>
        <w:instrText xml:space="preserve"> HYPERLINK "https://www.pmddtc.state.gov/?id=ddtc_public_portal_homepage" \o "Directorate of Defense Trade Controls Home" </w:instrText>
      </w:r>
      <w:r w:rsidRPr="004A619B">
        <w:rPr>
          <w:rFonts w:ascii="Times New Roman" w:eastAsia="Times New Roman" w:hAnsi="Times New Roman"/>
          <w:sz w:val="24"/>
          <w:szCs w:val="24"/>
        </w:rPr>
        <w:fldChar w:fldCharType="separate"/>
      </w:r>
    </w:p>
    <w:p w:rsidR="004A619B" w:rsidRPr="004A619B" w:rsidRDefault="004A619B" w:rsidP="004A619B">
      <w:pPr>
        <w:jc w:val="center"/>
        <w:rPr>
          <w:rFonts w:ascii="Times New Roman" w:eastAsia="Times New Roman" w:hAnsi="Times New Roman"/>
          <w:sz w:val="24"/>
          <w:szCs w:val="24"/>
        </w:rPr>
      </w:pPr>
      <w:r w:rsidRPr="004A619B">
        <w:rPr>
          <w:rFonts w:ascii="Helvetica" w:eastAsia="Times New Roman" w:hAnsi="Helvetica" w:cs="Helvetica"/>
          <w:b/>
          <w:bCs/>
          <w:color w:val="212121"/>
          <w:sz w:val="26"/>
          <w:szCs w:val="26"/>
          <w:shd w:val="clear" w:color="auto" w:fill="FFFFFF"/>
        </w:rPr>
        <w:t>Directorate of Defense Trade Controls</w:t>
      </w:r>
      <w:r>
        <w:rPr>
          <w:rFonts w:ascii="Helvetica" w:eastAsia="Times New Roman" w:hAnsi="Helvetica" w:cs="Helvetica"/>
          <w:b/>
          <w:bCs/>
          <w:color w:val="212121"/>
          <w:sz w:val="26"/>
          <w:szCs w:val="26"/>
          <w:shd w:val="clear" w:color="auto" w:fill="FFFFFF"/>
        </w:rPr>
        <w:t xml:space="preserve"> – </w:t>
      </w:r>
      <w:r w:rsidRPr="004A619B">
        <w:rPr>
          <w:rFonts w:ascii="Helvetica" w:eastAsia="Times New Roman" w:hAnsi="Helvetica" w:cs="Helvetica"/>
          <w:b/>
          <w:bCs/>
          <w:color w:val="212121"/>
          <w:sz w:val="28"/>
          <w:szCs w:val="26"/>
          <w:shd w:val="clear" w:color="auto" w:fill="FFFFFF"/>
        </w:rPr>
        <w:t>ITAR Registration</w:t>
      </w:r>
    </w:p>
    <w:p w:rsidR="004A619B" w:rsidRDefault="004A619B" w:rsidP="004A619B">
      <w:pPr>
        <w:rPr>
          <w:rFonts w:ascii="Helvetica" w:hAnsi="Helvetica" w:cs="Helvetica"/>
          <w:color w:val="323A45"/>
          <w:sz w:val="26"/>
          <w:szCs w:val="26"/>
          <w:shd w:val="clear" w:color="auto" w:fill="FFFFFF"/>
        </w:rPr>
      </w:pPr>
      <w:r w:rsidRPr="004A619B">
        <w:rPr>
          <w:rFonts w:ascii="Times New Roman" w:eastAsia="Times New Roman" w:hAnsi="Times New Roman"/>
          <w:sz w:val="24"/>
          <w:szCs w:val="24"/>
        </w:rPr>
        <w:fldChar w:fldCharType="end"/>
      </w:r>
    </w:p>
    <w:p w:rsidR="004A619B" w:rsidRDefault="004A619B" w:rsidP="004A619B">
      <w:r>
        <w:rPr>
          <w:rFonts w:ascii="Helvetica" w:hAnsi="Helvetica" w:cs="Helvetica"/>
          <w:color w:val="323A45"/>
          <w:sz w:val="26"/>
          <w:szCs w:val="26"/>
          <w:shd w:val="clear" w:color="auto" w:fill="FFFFFF"/>
        </w:rPr>
        <w:t>The Arms Export Control Act requires that all </w:t>
      </w:r>
      <w:r>
        <w:rPr>
          <w:rStyle w:val="Strong"/>
          <w:rFonts w:ascii="Helvetica" w:hAnsi="Helvetica" w:cs="Helvetica"/>
          <w:color w:val="323A45"/>
          <w:sz w:val="26"/>
          <w:szCs w:val="26"/>
          <w:shd w:val="clear" w:color="auto" w:fill="FFFFFF"/>
        </w:rPr>
        <w:t>manufacturers, exporters, temporary importers, and brokers of </w:t>
      </w:r>
      <w:hyperlink r:id="rId5" w:tgtFrame="_blank" w:tooltip="defense articles" w:history="1">
        <w:r>
          <w:rPr>
            <w:rStyle w:val="Hyperlink"/>
            <w:rFonts w:ascii="Helvetica" w:hAnsi="Helvetica" w:cs="Helvetica"/>
            <w:b/>
            <w:bCs/>
            <w:color w:val="0071BC"/>
            <w:sz w:val="26"/>
            <w:szCs w:val="26"/>
            <w:u w:val="none"/>
            <w:shd w:val="clear" w:color="auto" w:fill="FFFFFF"/>
          </w:rPr>
          <w:t>defense articles</w:t>
        </w:r>
      </w:hyperlink>
      <w:r>
        <w:rPr>
          <w:rFonts w:ascii="Helvetica" w:hAnsi="Helvetica" w:cs="Helvetica"/>
          <w:color w:val="323A45"/>
          <w:sz w:val="26"/>
          <w:szCs w:val="26"/>
          <w:shd w:val="clear" w:color="auto" w:fill="FFFFFF"/>
        </w:rPr>
        <w:t> (including </w:t>
      </w:r>
      <w:hyperlink r:id="rId6" w:anchor="se22.1.120_110" w:tgtFrame="_blank" w:tooltip="technical data" w:history="1">
        <w:r>
          <w:rPr>
            <w:rStyle w:val="Hyperlink"/>
            <w:rFonts w:ascii="Helvetica" w:hAnsi="Helvetica" w:cs="Helvetica"/>
            <w:color w:val="0071BC"/>
            <w:sz w:val="26"/>
            <w:szCs w:val="26"/>
            <w:u w:val="none"/>
            <w:shd w:val="clear" w:color="auto" w:fill="FFFFFF"/>
          </w:rPr>
          <w:t>technical data</w:t>
        </w:r>
      </w:hyperlink>
      <w:r>
        <w:rPr>
          <w:rFonts w:ascii="Helvetica" w:hAnsi="Helvetica" w:cs="Helvetica"/>
          <w:color w:val="323A45"/>
          <w:sz w:val="26"/>
          <w:szCs w:val="26"/>
          <w:shd w:val="clear" w:color="auto" w:fill="FFFFFF"/>
        </w:rPr>
        <w:t>) as defined on the </w:t>
      </w:r>
      <w:hyperlink r:id="rId7" w:tooltip="United States Munitions List (ITAR part 121)" w:history="1">
        <w:r>
          <w:rPr>
            <w:rStyle w:val="Hyperlink"/>
            <w:rFonts w:ascii="Helvetica" w:hAnsi="Helvetica" w:cs="Helvetica"/>
            <w:color w:val="0071BC"/>
            <w:sz w:val="26"/>
            <w:szCs w:val="26"/>
            <w:u w:val="none"/>
            <w:shd w:val="clear" w:color="auto" w:fill="FFFFFF"/>
          </w:rPr>
          <w:t>United States Munitions List (ITAR part 121)</w:t>
        </w:r>
      </w:hyperlink>
      <w:r>
        <w:rPr>
          <w:rFonts w:ascii="Helvetica" w:hAnsi="Helvetica" w:cs="Helvetica"/>
          <w:color w:val="323A45"/>
          <w:sz w:val="26"/>
          <w:szCs w:val="26"/>
          <w:shd w:val="clear" w:color="auto" w:fill="FFFFFF"/>
        </w:rPr>
        <w:t> and furnishers of </w:t>
      </w:r>
      <w:hyperlink r:id="rId8" w:anchor="se22.1.120_19" w:tgtFrame="_blank" w:tooltip="defense services" w:history="1">
        <w:r>
          <w:rPr>
            <w:rStyle w:val="Hyperlink"/>
            <w:rFonts w:ascii="Helvetica" w:hAnsi="Helvetica" w:cs="Helvetica"/>
            <w:color w:val="0071BC"/>
            <w:sz w:val="26"/>
            <w:szCs w:val="26"/>
            <w:u w:val="none"/>
            <w:shd w:val="clear" w:color="auto" w:fill="FFFFFF"/>
          </w:rPr>
          <w:t>defense services</w:t>
        </w:r>
      </w:hyperlink>
      <w:r>
        <w:rPr>
          <w:rFonts w:ascii="Helvetica" w:hAnsi="Helvetica" w:cs="Helvetica"/>
          <w:color w:val="323A45"/>
          <w:sz w:val="26"/>
          <w:szCs w:val="26"/>
          <w:shd w:val="clear" w:color="auto" w:fill="FFFFFF"/>
        </w:rPr>
        <w:t> are </w:t>
      </w:r>
      <w:r>
        <w:rPr>
          <w:rStyle w:val="Strong"/>
          <w:rFonts w:ascii="Helvetica" w:hAnsi="Helvetica" w:cs="Helvetica"/>
          <w:color w:val="323A45"/>
          <w:sz w:val="26"/>
          <w:szCs w:val="26"/>
          <w:shd w:val="clear" w:color="auto" w:fill="FFFFFF"/>
        </w:rPr>
        <w:t>required to register with the Directorate of Defense Trade Controls (DDTC)</w:t>
      </w:r>
      <w:r>
        <w:rPr>
          <w:rFonts w:ascii="Helvetica" w:hAnsi="Helvetica" w:cs="Helvetica"/>
          <w:color w:val="323A45"/>
          <w:sz w:val="26"/>
          <w:szCs w:val="26"/>
          <w:shd w:val="clear" w:color="auto" w:fill="FFFFFF"/>
        </w:rPr>
        <w:t> as described in </w:t>
      </w:r>
      <w:hyperlink r:id="rId9" w:tgtFrame="_blank" w:tooltip="ITAR part 122" w:history="1">
        <w:r>
          <w:rPr>
            <w:rStyle w:val="Hyperlink"/>
            <w:rFonts w:ascii="Helvetica" w:hAnsi="Helvetica" w:cs="Helvetica"/>
            <w:color w:val="0071BC"/>
            <w:sz w:val="26"/>
            <w:szCs w:val="26"/>
            <w:u w:val="none"/>
            <w:shd w:val="clear" w:color="auto" w:fill="FFFFFF"/>
          </w:rPr>
          <w:t>ITAR part 122</w:t>
        </w:r>
      </w:hyperlink>
      <w:r>
        <w:rPr>
          <w:rFonts w:ascii="Helvetica" w:hAnsi="Helvetica" w:cs="Helvetica"/>
          <w:color w:val="323A45"/>
          <w:sz w:val="26"/>
          <w:szCs w:val="26"/>
          <w:shd w:val="clear" w:color="auto" w:fill="FFFFFF"/>
        </w:rPr>
        <w:t> (</w:t>
      </w:r>
      <w:hyperlink r:id="rId10" w:tgtFrame="_blank" w:tooltip="part 129" w:history="1">
        <w:r>
          <w:rPr>
            <w:rStyle w:val="Hyperlink"/>
            <w:rFonts w:ascii="Helvetica" w:hAnsi="Helvetica" w:cs="Helvetica"/>
            <w:color w:val="0071BC"/>
            <w:sz w:val="26"/>
            <w:szCs w:val="26"/>
            <w:u w:val="none"/>
            <w:shd w:val="clear" w:color="auto" w:fill="FFFFFF"/>
          </w:rPr>
          <w:t>part 129</w:t>
        </w:r>
      </w:hyperlink>
      <w:r>
        <w:rPr>
          <w:rFonts w:ascii="Helvetica" w:hAnsi="Helvetica" w:cs="Helvetica"/>
          <w:color w:val="323A45"/>
          <w:sz w:val="26"/>
          <w:szCs w:val="26"/>
          <w:shd w:val="clear" w:color="auto" w:fill="FFFFFF"/>
        </w:rPr>
        <w:t> for brokers). It is primarily a means to provide the U.S. Government with necessary information on who is involved in certain ITAR controlled activities and does not confer any export or temporary import rights or privileges. Registration is generally a precondition for the issuance of any license or other approval and use of certain exemptions.</w:t>
      </w:r>
    </w:p>
    <w:p w:rsidR="004A619B" w:rsidRDefault="004A619B" w:rsidP="004A619B"/>
    <w:p w:rsidR="004A619B" w:rsidRPr="004A619B" w:rsidRDefault="004A619B" w:rsidP="004A619B">
      <w:r>
        <w:t>Both sites below take you to the Directorate of Defense Trade Controls (DDTC) Public Portal Where you will find</w:t>
      </w:r>
      <w:r w:rsidRPr="004A619B">
        <w:t xml:space="preserve"> links to definitions, instructions and explanations</w:t>
      </w:r>
      <w:r>
        <w:t>.</w:t>
      </w:r>
    </w:p>
    <w:p w:rsidR="004A619B" w:rsidRDefault="004A619B" w:rsidP="004A619B"/>
    <w:p w:rsidR="004A619B" w:rsidRDefault="002D3EAB" w:rsidP="004A619B">
      <w:hyperlink r:id="rId11" w:history="1">
        <w:r w:rsidR="004A619B">
          <w:rPr>
            <w:rStyle w:val="Hyperlink"/>
          </w:rPr>
          <w:t>www.pmddtc.state.gov</w:t>
        </w:r>
      </w:hyperlink>
    </w:p>
    <w:p w:rsidR="004A619B" w:rsidRDefault="004A619B" w:rsidP="004A619B"/>
    <w:p w:rsidR="004A619B" w:rsidRDefault="004A619B" w:rsidP="004A619B"/>
    <w:p w:rsidR="004A619B" w:rsidRDefault="002D3EAB" w:rsidP="004A619B">
      <w:hyperlink r:id="rId12" w:history="1">
        <w:r w:rsidR="004A619B">
          <w:rPr>
            <w:rStyle w:val="Hyperlink"/>
          </w:rPr>
          <w:t>https://www.pmddtc.state.gov/?id=ddtc_kb_article_page&amp;sys_id=def5f542dbf8d30044f9ff621f961959</w:t>
        </w:r>
      </w:hyperlink>
      <w:r w:rsidR="004A619B">
        <w:t xml:space="preserve"> </w:t>
      </w:r>
    </w:p>
    <w:p w:rsidR="004A619B" w:rsidRDefault="004A619B" w:rsidP="004A619B"/>
    <w:p w:rsidR="004A619B" w:rsidRPr="004A619B" w:rsidRDefault="004A619B" w:rsidP="004A619B">
      <w:pPr>
        <w:pStyle w:val="NormalWeb"/>
        <w:shd w:val="clear" w:color="auto" w:fill="FFFFFF"/>
        <w:spacing w:before="240" w:beforeAutospacing="0" w:after="240" w:afterAutospacing="0"/>
        <w:rPr>
          <w:rFonts w:ascii="Helvetica" w:hAnsi="Helvetica" w:cs="Helvetica"/>
          <w:color w:val="323A45"/>
          <w:sz w:val="22"/>
        </w:rPr>
      </w:pPr>
      <w:r w:rsidRPr="004A619B">
        <w:rPr>
          <w:rStyle w:val="Strong"/>
          <w:rFonts w:ascii="Helvetica" w:hAnsi="Helvetica" w:cs="Helvetica"/>
          <w:color w:val="323A45"/>
          <w:sz w:val="32"/>
          <w:szCs w:val="36"/>
        </w:rPr>
        <w:t>Registration Code</w:t>
      </w:r>
      <w:r w:rsidRPr="004A619B">
        <w:rPr>
          <w:rFonts w:ascii="Helvetica" w:hAnsi="Helvetica" w:cs="Helvetica"/>
          <w:b/>
          <w:bCs/>
          <w:color w:val="323A45"/>
          <w:sz w:val="32"/>
          <w:szCs w:val="36"/>
        </w:rPr>
        <w:br/>
      </w:r>
      <w:proofErr w:type="gramStart"/>
      <w:r w:rsidRPr="004A619B">
        <w:rPr>
          <w:rFonts w:ascii="Helvetica" w:hAnsi="Helvetica" w:cs="Helvetica"/>
          <w:color w:val="323A45"/>
          <w:sz w:val="22"/>
        </w:rPr>
        <w:t>Once</w:t>
      </w:r>
      <w:proofErr w:type="gramEnd"/>
      <w:r w:rsidRPr="004A619B">
        <w:rPr>
          <w:rFonts w:ascii="Helvetica" w:hAnsi="Helvetica" w:cs="Helvetica"/>
          <w:color w:val="323A45"/>
          <w:sz w:val="22"/>
        </w:rPr>
        <w:t xml:space="preserve"> an entity has properly registered with DDTC, a unique registration code will be assigned to the registrant. The DDTC registration code consist of a letter prefix, M (assigned to a manufacturer and/or exporter) or K (assigned to a broker), followed by four or five digits (e.g. K-1234 or M 12345). The code is proprietary to the registrant and should be handled as such. Company registration codes should not be posted online or given out freely to the public.</w:t>
      </w:r>
    </w:p>
    <w:p w:rsidR="004A619B" w:rsidRPr="004A619B" w:rsidRDefault="004A619B" w:rsidP="004A619B">
      <w:pPr>
        <w:pStyle w:val="NormalWeb"/>
        <w:shd w:val="clear" w:color="auto" w:fill="FFFFFF"/>
        <w:spacing w:before="240" w:beforeAutospacing="0" w:after="240" w:afterAutospacing="0"/>
        <w:rPr>
          <w:rFonts w:ascii="Helvetica" w:hAnsi="Helvetica" w:cs="Helvetica"/>
          <w:color w:val="323A45"/>
          <w:sz w:val="22"/>
        </w:rPr>
      </w:pPr>
      <w:r w:rsidRPr="004A619B">
        <w:rPr>
          <w:rStyle w:val="Strong"/>
          <w:rFonts w:ascii="Helvetica" w:hAnsi="Helvetica" w:cs="Helvetica"/>
          <w:color w:val="323A45"/>
          <w:sz w:val="32"/>
          <w:szCs w:val="36"/>
        </w:rPr>
        <w:t>Validity Period</w:t>
      </w:r>
      <w:r w:rsidRPr="004A619B">
        <w:rPr>
          <w:rFonts w:ascii="Helvetica" w:hAnsi="Helvetica" w:cs="Helvetica"/>
          <w:b/>
          <w:bCs/>
          <w:color w:val="323A45"/>
          <w:sz w:val="32"/>
          <w:szCs w:val="36"/>
        </w:rPr>
        <w:br/>
      </w:r>
      <w:r w:rsidRPr="004A619B">
        <w:rPr>
          <w:rFonts w:ascii="Helvetica" w:hAnsi="Helvetica" w:cs="Helvetica"/>
          <w:color w:val="323A45"/>
          <w:sz w:val="22"/>
        </w:rPr>
        <w:t>The period of validity for new and renewal registrations is twelve months from the date of issuance. The expiration date is included in the registration letter issued by DDTC.</w:t>
      </w:r>
    </w:p>
    <w:p w:rsidR="004A619B" w:rsidRPr="004A619B" w:rsidRDefault="004A619B" w:rsidP="004A619B">
      <w:pPr>
        <w:pStyle w:val="NormalWeb"/>
        <w:shd w:val="clear" w:color="auto" w:fill="FFFFFF"/>
        <w:spacing w:before="240" w:beforeAutospacing="0" w:after="240" w:afterAutospacing="0"/>
        <w:rPr>
          <w:rFonts w:ascii="Helvetica" w:hAnsi="Helvetica" w:cs="Helvetica"/>
          <w:color w:val="323A45"/>
          <w:sz w:val="22"/>
        </w:rPr>
      </w:pPr>
      <w:r w:rsidRPr="004A619B">
        <w:rPr>
          <w:rStyle w:val="Strong"/>
          <w:rFonts w:ascii="Helvetica" w:hAnsi="Helvetica" w:cs="Helvetica"/>
          <w:color w:val="323A45"/>
          <w:sz w:val="32"/>
          <w:szCs w:val="36"/>
        </w:rPr>
        <w:t>Review Times</w:t>
      </w:r>
      <w:r w:rsidRPr="004A619B">
        <w:rPr>
          <w:rFonts w:ascii="Helvetica" w:hAnsi="Helvetica" w:cs="Helvetica"/>
          <w:b/>
          <w:bCs/>
          <w:color w:val="323A45"/>
          <w:sz w:val="32"/>
          <w:szCs w:val="36"/>
        </w:rPr>
        <w:br/>
      </w:r>
      <w:proofErr w:type="gramStart"/>
      <w:r w:rsidRPr="004A619B">
        <w:rPr>
          <w:rFonts w:ascii="Helvetica" w:hAnsi="Helvetica" w:cs="Helvetica"/>
          <w:color w:val="323A45"/>
          <w:sz w:val="22"/>
        </w:rPr>
        <w:t>The</w:t>
      </w:r>
      <w:proofErr w:type="gramEnd"/>
      <w:r w:rsidRPr="004A619B">
        <w:rPr>
          <w:rFonts w:ascii="Helvetica" w:hAnsi="Helvetica" w:cs="Helvetica"/>
          <w:color w:val="323A45"/>
          <w:sz w:val="22"/>
        </w:rPr>
        <w:t xml:space="preserve"> average review time for a registration request is 45 days. We recommend you send your complete registration package electronically through the Electronic Form Submission (EFS) up to a maximum of 60 days in advance of the renewal expiration. Intended registrants will save time and money on mail delivery and receive an acknowledgement that their submission has been received. Electronic submission will improve review and adjudication of your registration request. Effective January 1, 2014 registration submissions must be submitted electronically.</w:t>
      </w:r>
    </w:p>
    <w:p w:rsidR="004A619B" w:rsidRDefault="004A619B" w:rsidP="004A619B"/>
    <w:p w:rsidR="00CF4A37" w:rsidRDefault="00CF4A37"/>
    <w:sectPr w:rsidR="00CF4A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19B"/>
    <w:rsid w:val="002D3EAB"/>
    <w:rsid w:val="004A619B"/>
    <w:rsid w:val="007A17D5"/>
    <w:rsid w:val="00CF4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19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619B"/>
    <w:rPr>
      <w:color w:val="0000FF"/>
      <w:u w:val="single"/>
    </w:rPr>
  </w:style>
  <w:style w:type="character" w:styleId="Strong">
    <w:name w:val="Strong"/>
    <w:basedOn w:val="DefaultParagraphFont"/>
    <w:uiPriority w:val="22"/>
    <w:qFormat/>
    <w:rsid w:val="004A619B"/>
    <w:rPr>
      <w:b/>
      <w:bCs/>
    </w:rPr>
  </w:style>
  <w:style w:type="paragraph" w:styleId="NormalWeb">
    <w:name w:val="Normal (Web)"/>
    <w:basedOn w:val="Normal"/>
    <w:uiPriority w:val="99"/>
    <w:semiHidden/>
    <w:unhideWhenUsed/>
    <w:rsid w:val="004A619B"/>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4A619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19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619B"/>
    <w:rPr>
      <w:color w:val="0000FF"/>
      <w:u w:val="single"/>
    </w:rPr>
  </w:style>
  <w:style w:type="character" w:styleId="Strong">
    <w:name w:val="Strong"/>
    <w:basedOn w:val="DefaultParagraphFont"/>
    <w:uiPriority w:val="22"/>
    <w:qFormat/>
    <w:rsid w:val="004A619B"/>
    <w:rPr>
      <w:b/>
      <w:bCs/>
    </w:rPr>
  </w:style>
  <w:style w:type="paragraph" w:styleId="NormalWeb">
    <w:name w:val="Normal (Web)"/>
    <w:basedOn w:val="Normal"/>
    <w:uiPriority w:val="99"/>
    <w:semiHidden/>
    <w:unhideWhenUsed/>
    <w:rsid w:val="004A619B"/>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4A61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291134">
      <w:bodyDiv w:val="1"/>
      <w:marLeft w:val="0"/>
      <w:marRight w:val="0"/>
      <w:marTop w:val="0"/>
      <w:marBottom w:val="0"/>
      <w:divBdr>
        <w:top w:val="none" w:sz="0" w:space="0" w:color="auto"/>
        <w:left w:val="none" w:sz="0" w:space="0" w:color="auto"/>
        <w:bottom w:val="none" w:sz="0" w:space="0" w:color="auto"/>
        <w:right w:val="none" w:sz="0" w:space="0" w:color="auto"/>
      </w:divBdr>
    </w:div>
    <w:div w:id="1091776149">
      <w:bodyDiv w:val="1"/>
      <w:marLeft w:val="0"/>
      <w:marRight w:val="0"/>
      <w:marTop w:val="0"/>
      <w:marBottom w:val="0"/>
      <w:divBdr>
        <w:top w:val="none" w:sz="0" w:space="0" w:color="auto"/>
        <w:left w:val="none" w:sz="0" w:space="0" w:color="auto"/>
        <w:bottom w:val="none" w:sz="0" w:space="0" w:color="auto"/>
        <w:right w:val="none" w:sz="0" w:space="0" w:color="auto"/>
      </w:divBdr>
      <w:divsChild>
        <w:div w:id="93132399">
          <w:marLeft w:val="0"/>
          <w:marRight w:val="0"/>
          <w:marTop w:val="0"/>
          <w:marBottom w:val="0"/>
          <w:divBdr>
            <w:top w:val="none" w:sz="0" w:space="0" w:color="auto"/>
            <w:left w:val="none" w:sz="0" w:space="0" w:color="auto"/>
            <w:bottom w:val="none" w:sz="0" w:space="0" w:color="auto"/>
            <w:right w:val="none" w:sz="0" w:space="0" w:color="auto"/>
          </w:divBdr>
        </w:div>
      </w:divsChild>
    </w:div>
    <w:div w:id="142661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retrieveECFR?gp=&amp;SID=39cf4ff3c67895d5678f7d0f4dbbd376&amp;mc=true&amp;n=pt22.1.120&amp;r=PART&amp;ty=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fr.gov/cgi-bin/text-idx?SID=86008bdffd1fb2e79cc5df41a180750a&amp;node=22:1.0.1.13.58&amp;rgn=div5" TargetMode="External"/><Relationship Id="rId12" Type="http://schemas.openxmlformats.org/officeDocument/2006/relationships/hyperlink" Target="https://www.pmddtc.state.gov/?id=ddtc_kb_article_page&amp;sys_id=def5f542dbf8d30044f9ff621f96195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cfr.gov/cgi-bin/retrieveECFR?gp=&amp;SID=39cf4ff3c67895d5678f7d0f4dbbd376&amp;mc=true&amp;n=pt22.1.120&amp;r=PART&amp;ty=HTML" TargetMode="External"/><Relationship Id="rId11" Type="http://schemas.openxmlformats.org/officeDocument/2006/relationships/hyperlink" Target="http://www.pmddtc.state.gov" TargetMode="External"/><Relationship Id="rId5" Type="http://schemas.openxmlformats.org/officeDocument/2006/relationships/hyperlink" Target="https://www.ecfr.gov/cgi-bin/text-idx?SID=943c82f74a72fa0bb62773a34244f01b&amp;mc=true&amp;node=se22.1.120_16&amp;rgn=div8" TargetMode="External"/><Relationship Id="rId10" Type="http://schemas.openxmlformats.org/officeDocument/2006/relationships/hyperlink" Target="https://www.ecfr.gov/cgi-bin/text-idx?SID=85303e87ad02570517fe0e8c54ce5eda&amp;mc=true&amp;node=pt22.1.129&amp;rgn=div5" TargetMode="External"/><Relationship Id="rId4" Type="http://schemas.openxmlformats.org/officeDocument/2006/relationships/webSettings" Target="webSettings.xml"/><Relationship Id="rId9" Type="http://schemas.openxmlformats.org/officeDocument/2006/relationships/hyperlink" Target="https://www.ecfr.gov/cgi-bin/text-idx?SID=986e9d2efe0d12260a849a87188f38f3&amp;mc=true&amp;node=pt22.1.122&amp;rgn=div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3060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Yazbeck, Julie</dc:creator>
  <cp:lastModifiedBy>Yazbeck, Julie</cp:lastModifiedBy>
  <cp:revision>2</cp:revision>
  <cp:lastPrinted>2019-04-24T15:45:00Z</cp:lastPrinted>
  <dcterms:created xsi:type="dcterms:W3CDTF">2019-08-05T19:52:00Z</dcterms:created>
  <dcterms:modified xsi:type="dcterms:W3CDTF">2019-08-05T19:52:00Z</dcterms:modified>
</cp:coreProperties>
</file>